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909AD" w14:textId="656F3539" w:rsidR="00FD7462" w:rsidRPr="008E3105" w:rsidRDefault="003F0B28" w:rsidP="00FD7462">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89</w:t>
      </w:r>
      <w:r w:rsidR="00FD7462" w:rsidRPr="008E3105">
        <w:rPr>
          <w:rFonts w:ascii="Arial" w:eastAsia="Batang" w:hAnsi="Arial" w:cs="Arial"/>
          <w:b/>
          <w:bCs/>
          <w:sz w:val="24"/>
          <w:szCs w:val="24"/>
          <w:lang w:val="en-US"/>
        </w:rPr>
        <w:tab/>
      </w:r>
      <w:r w:rsidR="00FD7462" w:rsidRPr="008E3105">
        <w:rPr>
          <w:rFonts w:ascii="Arial" w:hAnsi="Arial" w:cs="Arial"/>
          <w:b/>
          <w:bCs/>
          <w:sz w:val="24"/>
          <w:szCs w:val="24"/>
          <w:lang w:val="en-US"/>
        </w:rPr>
        <w:tab/>
      </w:r>
      <w:r w:rsidR="00FD7462" w:rsidRPr="008E3105">
        <w:rPr>
          <w:rFonts w:ascii="Arial" w:hAnsi="Arial" w:cs="Arial"/>
          <w:b/>
          <w:bCs/>
          <w:sz w:val="24"/>
          <w:szCs w:val="24"/>
          <w:lang w:val="en-US"/>
        </w:rPr>
        <w:tab/>
        <w:t>R1-</w:t>
      </w:r>
      <w:r w:rsidR="006446B7" w:rsidRPr="008E3105">
        <w:rPr>
          <w:rFonts w:ascii="Arial" w:hAnsi="Arial" w:cs="Arial"/>
          <w:b/>
          <w:bCs/>
          <w:sz w:val="24"/>
          <w:szCs w:val="24"/>
          <w:lang w:val="en-US"/>
        </w:rPr>
        <w:t>170</w:t>
      </w:r>
      <w:r w:rsidR="003D3B7F">
        <w:rPr>
          <w:rFonts w:ascii="Arial" w:hAnsi="Arial" w:cs="Arial"/>
          <w:b/>
          <w:bCs/>
          <w:sz w:val="24"/>
          <w:szCs w:val="24"/>
          <w:lang w:val="en-US"/>
        </w:rPr>
        <w:t>9743</w:t>
      </w:r>
      <w:bookmarkStart w:id="0" w:name="_GoBack"/>
      <w:bookmarkEnd w:id="0"/>
    </w:p>
    <w:p w14:paraId="373A1988" w14:textId="77777777" w:rsidR="003F0B28" w:rsidRDefault="003F0B28" w:rsidP="003F0B28">
      <w:pPr>
        <w:tabs>
          <w:tab w:val="left" w:pos="1985"/>
        </w:tabs>
        <w:ind w:left="2048" w:hangingChars="850" w:hanging="2048"/>
        <w:rPr>
          <w:rFonts w:ascii="Arial" w:eastAsia="MS Mincho" w:hAnsi="Arial" w:cs="Arial"/>
          <w:b/>
          <w:bCs/>
          <w:sz w:val="24"/>
          <w:lang w:val="en-US" w:eastAsia="ja-JP"/>
        </w:rPr>
      </w:pPr>
      <w:r>
        <w:rPr>
          <w:rFonts w:ascii="Arial" w:eastAsia="MS Mincho" w:hAnsi="Arial" w:cs="Arial"/>
          <w:b/>
          <w:bCs/>
          <w:sz w:val="24"/>
          <w:lang w:val="en-US" w:eastAsia="ja-JP"/>
        </w:rPr>
        <w:t>Hangzhou, China</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15</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19</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May</w:t>
      </w:r>
      <w:r w:rsidRPr="00813B43">
        <w:rPr>
          <w:rFonts w:ascii="Arial" w:eastAsia="MS Mincho" w:hAnsi="Arial" w:cs="Arial"/>
          <w:b/>
          <w:bCs/>
          <w:sz w:val="24"/>
          <w:lang w:val="en-US" w:eastAsia="ja-JP"/>
        </w:rPr>
        <w:t xml:space="preserve"> </w:t>
      </w:r>
      <w:r w:rsidRPr="00815EBF">
        <w:rPr>
          <w:rFonts w:ascii="Arial" w:eastAsia="MS Mincho" w:hAnsi="Arial" w:cs="Arial"/>
          <w:b/>
          <w:bCs/>
          <w:sz w:val="24"/>
          <w:lang w:val="en-US" w:eastAsia="ja-JP"/>
        </w:rPr>
        <w:t>2017</w:t>
      </w:r>
    </w:p>
    <w:p w14:paraId="35436E35" w14:textId="4B70A468"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1" w:name="Source"/>
      <w:bookmarkEnd w:id="1"/>
      <w:r w:rsidR="003F0B28">
        <w:rPr>
          <w:rFonts w:ascii="Arial" w:hAnsi="Arial"/>
          <w:sz w:val="24"/>
          <w:lang w:val="en-US" w:eastAsia="ko-KR"/>
        </w:rPr>
        <w:t>7</w:t>
      </w:r>
      <w:r w:rsidRPr="008E3105">
        <w:rPr>
          <w:rFonts w:ascii="Arial" w:hAnsi="Arial"/>
          <w:sz w:val="24"/>
          <w:lang w:val="en-US" w:eastAsia="ko-KR"/>
        </w:rPr>
        <w:t>.1.</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.3</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2094715B"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F32D64" w:rsidRPr="008E3105">
        <w:rPr>
          <w:rFonts w:ascii="Arial" w:hAnsi="Arial"/>
          <w:sz w:val="24"/>
          <w:lang w:val="en-US"/>
        </w:rPr>
        <w:t>U</w:t>
      </w:r>
      <w:r w:rsidR="00BD71C0" w:rsidRPr="008E3105">
        <w:rPr>
          <w:rFonts w:ascii="Arial" w:hAnsi="Arial"/>
          <w:sz w:val="24"/>
          <w:lang w:val="en-US"/>
        </w:rPr>
        <w:t xml:space="preserve">L </w:t>
      </w:r>
      <w:r w:rsidR="006F7234" w:rsidRPr="008E3105">
        <w:rPr>
          <w:rFonts w:ascii="Arial" w:hAnsi="Arial"/>
          <w:sz w:val="24"/>
          <w:lang w:val="en-US"/>
        </w:rPr>
        <w:t>codebook-based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2" w:name="DocumentFor"/>
      <w:bookmarkEnd w:id="2"/>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01B2A2F5" w14:textId="08FDFB77" w:rsidR="001D59B8" w:rsidRDefault="001D59B8" w:rsidP="005D6078">
      <w:pPr>
        <w:pStyle w:val="maintext"/>
        <w:ind w:firstLine="400"/>
        <w:rPr>
          <w:lang w:val="en-US"/>
        </w:rPr>
      </w:pPr>
      <w:r>
        <w:rPr>
          <w:rFonts w:hint="eastAsia"/>
          <w:lang w:val="en-US"/>
        </w:rPr>
        <w:t>In RAN1#87, the following agreements on UL MIMO were made.</w:t>
      </w:r>
    </w:p>
    <w:tbl>
      <w:tblPr>
        <w:tblStyle w:val="TableGrid"/>
        <w:tblW w:w="0" w:type="auto"/>
        <w:tblLook w:val="04A0" w:firstRow="1" w:lastRow="0" w:firstColumn="1" w:lastColumn="0" w:noHBand="0" w:noVBand="1"/>
      </w:tblPr>
      <w:tblGrid>
        <w:gridCol w:w="9629"/>
      </w:tblGrid>
      <w:tr w:rsidR="001D59B8" w:rsidRPr="008E3105" w14:paraId="2510EB85" w14:textId="77777777" w:rsidTr="00024183">
        <w:tc>
          <w:tcPr>
            <w:tcW w:w="9855" w:type="dxa"/>
          </w:tcPr>
          <w:p w14:paraId="472B7C15" w14:textId="0B7A96EC" w:rsidR="001D59B8" w:rsidRPr="00643307" w:rsidRDefault="001D59B8" w:rsidP="001D59B8">
            <w:pPr>
              <w:rPr>
                <w:rFonts w:eastAsia="MS Mincho"/>
                <w:iCs/>
                <w:lang w:val="en-US" w:eastAsia="ja-JP"/>
              </w:rPr>
            </w:pPr>
            <w:r w:rsidRPr="00643307">
              <w:rPr>
                <w:rFonts w:eastAsia="MS Mincho"/>
                <w:iCs/>
                <w:highlight w:val="green"/>
                <w:lang w:val="en-US" w:eastAsia="ja-JP"/>
              </w:rPr>
              <w:t>Agreements:</w:t>
            </w:r>
          </w:p>
          <w:p w14:paraId="6A441F3F" w14:textId="77777777" w:rsidR="001D59B8" w:rsidRPr="00A26D71" w:rsidRDefault="001D59B8" w:rsidP="001D59B8">
            <w:pPr>
              <w:numPr>
                <w:ilvl w:val="0"/>
                <w:numId w:val="44"/>
              </w:numPr>
              <w:spacing w:after="0"/>
              <w:rPr>
                <w:rFonts w:eastAsia="MS Mincho"/>
                <w:iCs/>
                <w:lang w:val="en-US" w:eastAsia="ja-JP"/>
              </w:rPr>
            </w:pPr>
            <w:r w:rsidRPr="00A26D71">
              <w:rPr>
                <w:rFonts w:eastAsia="MS Mincho" w:hint="eastAsia"/>
                <w:iCs/>
                <w:lang w:eastAsia="ja-JP"/>
              </w:rPr>
              <w:t>For the purpose of discussions, r</w:t>
            </w:r>
            <w:r w:rsidRPr="00A26D71">
              <w:rPr>
                <w:rFonts w:eastAsia="MS Mincho"/>
                <w:iCs/>
                <w:lang w:eastAsia="ja-JP"/>
              </w:rPr>
              <w:t>eplace the classifications</w:t>
            </w:r>
            <w:r w:rsidRPr="00A26D71">
              <w:rPr>
                <w:rFonts w:eastAsia="MS Mincho" w:hint="eastAsia"/>
                <w:iCs/>
                <w:lang w:eastAsia="ja-JP"/>
              </w:rPr>
              <w:t xml:space="preserve"> </w:t>
            </w:r>
            <w:r w:rsidRPr="00A26D71">
              <w:rPr>
                <w:rFonts w:eastAsia="MS Mincho"/>
                <w:iCs/>
                <w:lang w:eastAsia="ja-JP"/>
              </w:rPr>
              <w:t>’closed-loop’</w:t>
            </w:r>
            <w:r w:rsidRPr="00A26D71">
              <w:rPr>
                <w:rFonts w:eastAsia="MS Mincho" w:hint="eastAsia"/>
                <w:iCs/>
                <w:lang w:eastAsia="ja-JP"/>
              </w:rPr>
              <w:t>/</w:t>
            </w:r>
            <w:r w:rsidRPr="00A26D71">
              <w:rPr>
                <w:rFonts w:eastAsia="MS Mincho"/>
                <w:iCs/>
                <w:lang w:eastAsia="ja-JP"/>
              </w:rPr>
              <w:t>‘open-loop’ with method-based classification of ‘precoding’ and ‘</w:t>
            </w:r>
            <w:proofErr w:type="spellStart"/>
            <w:r w:rsidRPr="00A26D71">
              <w:rPr>
                <w:rFonts w:eastAsia="MS Mincho"/>
                <w:iCs/>
                <w:lang w:eastAsia="ja-JP"/>
              </w:rPr>
              <w:t>precoder</w:t>
            </w:r>
            <w:proofErr w:type="spellEnd"/>
            <w:r w:rsidRPr="00A26D71">
              <w:rPr>
                <w:rFonts w:eastAsia="MS Mincho"/>
                <w:iCs/>
                <w:lang w:eastAsia="ja-JP"/>
              </w:rPr>
              <w:t xml:space="preserve"> cycling’</w:t>
            </w:r>
          </w:p>
          <w:p w14:paraId="526FAA1F" w14:textId="77777777" w:rsidR="001D59B8" w:rsidRPr="00A26D71" w:rsidRDefault="001D59B8" w:rsidP="001D59B8">
            <w:pPr>
              <w:numPr>
                <w:ilvl w:val="1"/>
                <w:numId w:val="44"/>
              </w:numPr>
              <w:spacing w:after="0"/>
              <w:rPr>
                <w:rFonts w:eastAsia="MS Mincho"/>
                <w:iCs/>
                <w:lang w:val="en-US" w:eastAsia="ja-JP"/>
              </w:rPr>
            </w:pPr>
            <w:r w:rsidRPr="00A26D71">
              <w:rPr>
                <w:rFonts w:eastAsia="MS Mincho"/>
                <w:iCs/>
                <w:lang w:eastAsia="ja-JP"/>
              </w:rPr>
              <w:t>Signalling and UL-CSI measurement support are to be addressed separately</w:t>
            </w:r>
          </w:p>
          <w:p w14:paraId="20DE593B" w14:textId="77777777" w:rsidR="001D59B8" w:rsidRPr="00A26D71" w:rsidRDefault="001D59B8" w:rsidP="001D59B8">
            <w:pPr>
              <w:numPr>
                <w:ilvl w:val="1"/>
                <w:numId w:val="44"/>
              </w:numPr>
              <w:spacing w:after="0"/>
              <w:rPr>
                <w:rFonts w:eastAsia="MS Mincho"/>
                <w:iCs/>
                <w:lang w:val="en-US" w:eastAsia="ja-JP"/>
              </w:rPr>
            </w:pPr>
            <w:r w:rsidRPr="00A26D71">
              <w:rPr>
                <w:rFonts w:eastAsia="MS Mincho"/>
                <w:iCs/>
                <w:lang w:eastAsia="ja-JP"/>
              </w:rPr>
              <w:t xml:space="preserve">Both precoding and </w:t>
            </w:r>
            <w:proofErr w:type="spellStart"/>
            <w:r w:rsidRPr="00A26D71">
              <w:rPr>
                <w:rFonts w:eastAsia="MS Mincho"/>
                <w:iCs/>
                <w:lang w:eastAsia="ja-JP"/>
              </w:rPr>
              <w:t>precoder</w:t>
            </w:r>
            <w:proofErr w:type="spellEnd"/>
            <w:r w:rsidRPr="00A26D71">
              <w:rPr>
                <w:rFonts w:eastAsia="MS Mincho"/>
                <w:iCs/>
                <w:lang w:eastAsia="ja-JP"/>
              </w:rPr>
              <w:t xml:space="preserve"> cycling </w:t>
            </w:r>
            <w:r w:rsidRPr="00A26D71">
              <w:rPr>
                <w:rFonts w:eastAsia="MS Mincho" w:hint="eastAsia"/>
                <w:iCs/>
                <w:lang w:eastAsia="ja-JP"/>
              </w:rPr>
              <w:t>can be considered</w:t>
            </w:r>
            <w:r w:rsidRPr="00A26D71">
              <w:rPr>
                <w:rFonts w:eastAsia="MS Mincho"/>
                <w:iCs/>
                <w:lang w:eastAsia="ja-JP"/>
              </w:rPr>
              <w:t xml:space="preserve"> for UL DMRS-based spatial multiplexing (SM)</w:t>
            </w:r>
          </w:p>
          <w:p w14:paraId="0D11EA7A" w14:textId="77777777" w:rsidR="001D59B8" w:rsidRPr="00A26D71" w:rsidRDefault="001D59B8" w:rsidP="001D59B8">
            <w:pPr>
              <w:numPr>
                <w:ilvl w:val="1"/>
                <w:numId w:val="44"/>
              </w:numPr>
              <w:spacing w:after="0"/>
              <w:rPr>
                <w:rFonts w:eastAsia="MS Mincho"/>
                <w:iCs/>
                <w:lang w:val="en-US" w:eastAsia="ja-JP"/>
              </w:rPr>
            </w:pPr>
            <w:r w:rsidRPr="00A26D71">
              <w:rPr>
                <w:rFonts w:eastAsia="MS Mincho" w:hint="eastAsia"/>
                <w:iCs/>
                <w:lang w:eastAsia="ja-JP"/>
              </w:rPr>
              <w:t xml:space="preserve">Note: For only CP-OFDM </w:t>
            </w:r>
            <w:r w:rsidRPr="00A26D71">
              <w:rPr>
                <w:rFonts w:eastAsia="MS Mincho"/>
                <w:iCs/>
                <w:lang w:eastAsia="ja-JP"/>
              </w:rPr>
              <w:t>waveform</w:t>
            </w:r>
            <w:r w:rsidRPr="00A26D71">
              <w:rPr>
                <w:rFonts w:eastAsia="MS Mincho" w:hint="eastAsia"/>
                <w:iCs/>
                <w:lang w:eastAsia="ja-JP"/>
              </w:rPr>
              <w:t xml:space="preserve">, </w:t>
            </w:r>
            <w:r w:rsidRPr="00A26D71">
              <w:rPr>
                <w:rFonts w:eastAsia="MS Mincho"/>
                <w:iCs/>
                <w:lang w:eastAsia="ja-JP"/>
              </w:rPr>
              <w:t>SFBC is covered by this clarification</w:t>
            </w:r>
          </w:p>
          <w:p w14:paraId="035D0D16" w14:textId="77777777" w:rsidR="001D59B8" w:rsidRPr="00643307" w:rsidRDefault="001D59B8" w:rsidP="001D59B8">
            <w:pPr>
              <w:numPr>
                <w:ilvl w:val="0"/>
                <w:numId w:val="44"/>
              </w:numPr>
              <w:spacing w:after="0"/>
              <w:rPr>
                <w:rFonts w:eastAsia="MS Mincho"/>
                <w:iCs/>
                <w:highlight w:val="yellow"/>
                <w:lang w:val="en-US" w:eastAsia="ja-JP"/>
              </w:rPr>
            </w:pPr>
            <w:r w:rsidRPr="00643307">
              <w:rPr>
                <w:rFonts w:eastAsia="MS Mincho"/>
                <w:iCs/>
                <w:highlight w:val="yellow"/>
                <w:lang w:val="en-US" w:eastAsia="ja-JP"/>
              </w:rPr>
              <w:t>Frequency selective precoding is supported for UL MIMO with CP-OFDM waveform when the transmission ports is greater than X</w:t>
            </w:r>
          </w:p>
          <w:p w14:paraId="23CBB267" w14:textId="77777777" w:rsidR="001D59B8" w:rsidRPr="00A26D71" w:rsidRDefault="001D59B8" w:rsidP="001D59B8">
            <w:pPr>
              <w:numPr>
                <w:ilvl w:val="1"/>
                <w:numId w:val="44"/>
              </w:numPr>
              <w:spacing w:after="0"/>
              <w:rPr>
                <w:rFonts w:eastAsia="MS Mincho"/>
                <w:iCs/>
                <w:lang w:val="en-US" w:eastAsia="ja-JP"/>
              </w:rPr>
            </w:pPr>
            <w:r w:rsidRPr="00A26D71">
              <w:rPr>
                <w:rFonts w:eastAsia="MS Mincho" w:hint="eastAsia"/>
                <w:iCs/>
                <w:lang w:val="en-US" w:eastAsia="ja-JP"/>
              </w:rPr>
              <w:t>Following examples can be studied</w:t>
            </w:r>
          </w:p>
          <w:p w14:paraId="5887CFBD"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 xml:space="preserve">Example 1: Precoding information for a given partial BW is explicitly indicated by </w:t>
            </w:r>
            <w:proofErr w:type="spellStart"/>
            <w:r w:rsidRPr="00A26D71">
              <w:rPr>
                <w:rFonts w:eastAsia="MS Mincho"/>
                <w:iCs/>
                <w:lang w:val="en-US" w:eastAsia="ja-JP"/>
              </w:rPr>
              <w:t>gNB</w:t>
            </w:r>
            <w:proofErr w:type="spellEnd"/>
          </w:p>
          <w:p w14:paraId="6D3979F2"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 xml:space="preserve">The precoding information can be indicated through a hierarchical indication manner with wideband W1 and </w:t>
            </w:r>
            <w:proofErr w:type="spellStart"/>
            <w:r w:rsidRPr="00A26D71">
              <w:rPr>
                <w:rFonts w:eastAsia="MS Mincho"/>
                <w:iCs/>
                <w:lang w:val="en-US" w:eastAsia="ja-JP"/>
              </w:rPr>
              <w:t>subband</w:t>
            </w:r>
            <w:proofErr w:type="spellEnd"/>
            <w:r w:rsidRPr="00A26D71">
              <w:rPr>
                <w:rFonts w:eastAsia="MS Mincho"/>
                <w:iCs/>
                <w:lang w:val="en-US" w:eastAsia="ja-JP"/>
              </w:rPr>
              <w:t xml:space="preserve"> W2</w:t>
            </w:r>
          </w:p>
          <w:p w14:paraId="51083585" w14:textId="77777777" w:rsidR="001D59B8" w:rsidRPr="00A26D71" w:rsidRDefault="001D59B8" w:rsidP="001D59B8">
            <w:pPr>
              <w:numPr>
                <w:ilvl w:val="4"/>
                <w:numId w:val="44"/>
              </w:numPr>
              <w:spacing w:after="0"/>
              <w:rPr>
                <w:rFonts w:eastAsia="MS Mincho"/>
                <w:iCs/>
                <w:lang w:val="en-US" w:eastAsia="ja-JP"/>
              </w:rPr>
            </w:pPr>
            <w:r w:rsidRPr="00A26D71">
              <w:rPr>
                <w:rFonts w:eastAsia="MS Mincho"/>
                <w:iCs/>
                <w:lang w:val="en-US" w:eastAsia="ja-JP"/>
              </w:rPr>
              <w:t xml:space="preserve">W1 and W2 can be signaled in </w:t>
            </w:r>
            <w:r w:rsidRPr="00A26D71">
              <w:rPr>
                <w:rFonts w:eastAsia="MS Mincho" w:hint="eastAsia"/>
                <w:iCs/>
                <w:lang w:val="en-US" w:eastAsia="ja-JP"/>
              </w:rPr>
              <w:t xml:space="preserve">one DCI or </w:t>
            </w:r>
            <w:r w:rsidRPr="00A26D71">
              <w:rPr>
                <w:rFonts w:eastAsia="MS Mincho"/>
                <w:iCs/>
                <w:lang w:val="en-US" w:eastAsia="ja-JP"/>
              </w:rPr>
              <w:t>two separate DCIs</w:t>
            </w:r>
          </w:p>
          <w:p w14:paraId="42FA0BDA"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Example 2: A single beam group in UL codebook is indicated by BS for UL transmission in perspective of the system bandwidth</w:t>
            </w:r>
          </w:p>
          <w:p w14:paraId="0DA5908D"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 xml:space="preserve">Example 2a: </w:t>
            </w:r>
            <w:proofErr w:type="spellStart"/>
            <w:r w:rsidRPr="00A26D71">
              <w:rPr>
                <w:rFonts w:eastAsia="MS Mincho"/>
                <w:iCs/>
                <w:lang w:val="en-US" w:eastAsia="ja-JP"/>
              </w:rPr>
              <w:t>Precoder</w:t>
            </w:r>
            <w:proofErr w:type="spellEnd"/>
            <w:r w:rsidRPr="00A26D71">
              <w:rPr>
                <w:rFonts w:eastAsia="MS Mincho"/>
                <w:iCs/>
                <w:lang w:val="en-US" w:eastAsia="ja-JP"/>
              </w:rPr>
              <w:t xml:space="preserve"> cycling  is adopted within the beam group </w:t>
            </w:r>
          </w:p>
          <w:p w14:paraId="23A72959"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Example 2b: The UE has certain flexibility to decide which particular beam/</w:t>
            </w:r>
            <w:proofErr w:type="spellStart"/>
            <w:r w:rsidRPr="00A26D71">
              <w:rPr>
                <w:rFonts w:eastAsia="MS Mincho"/>
                <w:iCs/>
                <w:lang w:val="en-US" w:eastAsia="ja-JP"/>
              </w:rPr>
              <w:t>precoder</w:t>
            </w:r>
            <w:proofErr w:type="spellEnd"/>
            <w:r w:rsidRPr="00A26D71">
              <w:rPr>
                <w:rFonts w:eastAsia="MS Mincho"/>
                <w:iCs/>
                <w:lang w:val="en-US" w:eastAsia="ja-JP"/>
              </w:rPr>
              <w:t xml:space="preserve"> in the beam group for actual transmission.</w:t>
            </w:r>
          </w:p>
          <w:p w14:paraId="5EE9F0AE" w14:textId="77777777" w:rsidR="001D59B8" w:rsidRPr="00A26D71" w:rsidRDefault="001D59B8" w:rsidP="001D59B8">
            <w:pPr>
              <w:numPr>
                <w:ilvl w:val="2"/>
                <w:numId w:val="44"/>
              </w:numPr>
              <w:spacing w:after="0"/>
              <w:rPr>
                <w:rFonts w:eastAsia="MS Mincho"/>
                <w:iCs/>
                <w:lang w:val="en-US" w:eastAsia="ja-JP"/>
              </w:rPr>
            </w:pPr>
            <w:r w:rsidRPr="00A26D71">
              <w:rPr>
                <w:rFonts w:eastAsia="MS Mincho" w:hint="eastAsia"/>
                <w:iCs/>
                <w:lang w:val="en-US" w:eastAsia="ja-JP"/>
              </w:rPr>
              <w:t xml:space="preserve">Example 3: </w:t>
            </w:r>
            <w:r w:rsidRPr="00A26D71">
              <w:rPr>
                <w:rFonts w:eastAsia="MS Mincho"/>
                <w:iCs/>
                <w:lang w:val="en-US" w:eastAsia="ja-JP"/>
              </w:rPr>
              <w:t>Reciprocity</w:t>
            </w:r>
            <w:r w:rsidRPr="00A26D71">
              <w:rPr>
                <w:rFonts w:eastAsia="MS Mincho" w:hint="eastAsia"/>
                <w:iCs/>
                <w:lang w:val="en-US" w:eastAsia="ja-JP"/>
              </w:rPr>
              <w:t xml:space="preserve"> based precoding</w:t>
            </w:r>
          </w:p>
          <w:p w14:paraId="4FC329A3"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Other examples are not precluded</w:t>
            </w:r>
          </w:p>
          <w:p w14:paraId="142330B9" w14:textId="4E6172B6" w:rsidR="001D59B8" w:rsidRPr="00FB2D76" w:rsidRDefault="001D59B8" w:rsidP="001D59B8">
            <w:pPr>
              <w:numPr>
                <w:ilvl w:val="1"/>
                <w:numId w:val="44"/>
              </w:numPr>
              <w:spacing w:after="0"/>
              <w:rPr>
                <w:rFonts w:eastAsia="MS Mincho"/>
                <w:iCs/>
                <w:lang w:val="en-US" w:eastAsia="ja-JP"/>
              </w:rPr>
            </w:pPr>
            <w:r w:rsidRPr="00643307">
              <w:rPr>
                <w:rFonts w:eastAsia="MS Mincho"/>
                <w:iCs/>
                <w:highlight w:val="yellow"/>
                <w:lang w:val="en-US" w:eastAsia="ja-JP"/>
              </w:rPr>
              <w:t>FFS: X value</w:t>
            </w:r>
          </w:p>
        </w:tc>
      </w:tr>
    </w:tbl>
    <w:p w14:paraId="3CA109B3" w14:textId="77777777" w:rsidR="001D59B8" w:rsidRPr="00643307" w:rsidRDefault="001D59B8" w:rsidP="005D6078">
      <w:pPr>
        <w:pStyle w:val="maintext"/>
        <w:ind w:firstLine="400"/>
      </w:pPr>
    </w:p>
    <w:p w14:paraId="1440C5AC" w14:textId="35EE435F"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629"/>
      </w:tblGrid>
      <w:tr w:rsidR="0048629D" w:rsidRPr="008E3105" w14:paraId="46B52B6A" w14:textId="77777777" w:rsidTr="00B914DE">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FB2D76">
            <w:pPr>
              <w:numPr>
                <w:ilvl w:val="0"/>
                <w:numId w:val="43"/>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FB2D76">
            <w:pPr>
              <w:numPr>
                <w:ilvl w:val="1"/>
                <w:numId w:val="43"/>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 xml:space="preserve">The TPMI is used to indicate preferred </w:t>
            </w:r>
            <w:proofErr w:type="spellStart"/>
            <w:r w:rsidRPr="00E24202">
              <w:rPr>
                <w:rFonts w:eastAsia="MS Mincho"/>
                <w:iCs/>
                <w:lang w:val="en-US" w:eastAsia="ja-JP"/>
              </w:rPr>
              <w:t>precoder</w:t>
            </w:r>
            <w:proofErr w:type="spellEnd"/>
            <w:r w:rsidRPr="00E24202">
              <w:rPr>
                <w:rFonts w:eastAsia="MS Mincho"/>
                <w:iCs/>
                <w:lang w:val="en-US" w:eastAsia="ja-JP"/>
              </w:rPr>
              <w:t xml:space="preserve"> over the SRS ports in the selected SRS resource by the SRI.</w:t>
            </w:r>
          </w:p>
          <w:p w14:paraId="53C83BDB"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FB2D76">
            <w:pPr>
              <w:numPr>
                <w:ilvl w:val="3"/>
                <w:numId w:val="43"/>
              </w:numPr>
              <w:spacing w:after="0"/>
              <w:rPr>
                <w:rFonts w:eastAsia="MS Mincho"/>
                <w:iCs/>
                <w:lang w:val="en-US" w:eastAsia="ja-JP"/>
              </w:rPr>
            </w:pPr>
            <w:r w:rsidRPr="00E24202">
              <w:rPr>
                <w:rFonts w:eastAsia="MS Mincho"/>
                <w:iCs/>
                <w:lang w:val="en-US" w:eastAsia="ja-JP"/>
              </w:rPr>
              <w:t xml:space="preserve">The TPMI is used to indicate preferred </w:t>
            </w:r>
            <w:proofErr w:type="spellStart"/>
            <w:r w:rsidRPr="00E24202">
              <w:rPr>
                <w:rFonts w:eastAsia="MS Mincho"/>
                <w:iCs/>
                <w:lang w:val="en-US" w:eastAsia="ja-JP"/>
              </w:rPr>
              <w:t>precoder</w:t>
            </w:r>
            <w:proofErr w:type="spellEnd"/>
            <w:r w:rsidRPr="00E24202">
              <w:rPr>
                <w:rFonts w:eastAsia="MS Mincho"/>
                <w:iCs/>
                <w:lang w:val="en-US" w:eastAsia="ja-JP"/>
              </w:rPr>
              <w:t xml:space="preserve"> over the SRS ports in the configured single SRS resource.</w:t>
            </w:r>
          </w:p>
          <w:p w14:paraId="65363191" w14:textId="77777777" w:rsidR="00FB2D76" w:rsidRPr="00FB2D76" w:rsidRDefault="00FB2D76" w:rsidP="00FB2D76">
            <w:pPr>
              <w:numPr>
                <w:ilvl w:val="1"/>
                <w:numId w:val="43"/>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FB2D76">
            <w:pPr>
              <w:numPr>
                <w:ilvl w:val="0"/>
                <w:numId w:val="44"/>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w:t>
            </w:r>
            <w:proofErr w:type="spellStart"/>
            <w:r w:rsidRPr="0074580D">
              <w:rPr>
                <w:rFonts w:eastAsia="MS Mincho"/>
                <w:iCs/>
                <w:lang w:val="en-US" w:eastAsia="ja-JP"/>
              </w:rPr>
              <w:t>subband</w:t>
            </w:r>
            <w:proofErr w:type="spellEnd"/>
            <w:r w:rsidRPr="0074580D">
              <w:rPr>
                <w:rFonts w:eastAsia="MS Mincho"/>
                <w:iCs/>
                <w:lang w:val="en-US" w:eastAsia="ja-JP"/>
              </w:rPr>
              <w:t xml:space="preserve"> TPMI signaling is supported, support one of the following alternatives: </w:t>
            </w:r>
          </w:p>
          <w:p w14:paraId="74BD4C07" w14:textId="77777777" w:rsidR="00FB2D76" w:rsidRPr="00FB2D76" w:rsidRDefault="00FB2D76" w:rsidP="00FB2D76">
            <w:pPr>
              <w:numPr>
                <w:ilvl w:val="1"/>
                <w:numId w:val="44"/>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FB2D76">
            <w:pPr>
              <w:numPr>
                <w:ilvl w:val="1"/>
                <w:numId w:val="44"/>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FB2D76">
            <w:pPr>
              <w:numPr>
                <w:ilvl w:val="1"/>
                <w:numId w:val="44"/>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FB2D76">
            <w:pPr>
              <w:numPr>
                <w:ilvl w:val="1"/>
                <w:numId w:val="44"/>
              </w:numPr>
              <w:spacing w:after="0"/>
              <w:rPr>
                <w:rFonts w:eastAsia="MS Mincho"/>
                <w:iCs/>
                <w:highlight w:val="yellow"/>
                <w:lang w:val="en-US" w:eastAsia="ja-JP"/>
              </w:rPr>
            </w:pPr>
            <w:r w:rsidRPr="00FB2D76">
              <w:rPr>
                <w:rFonts w:eastAsia="MS Mincho"/>
                <w:iCs/>
                <w:highlight w:val="yellow"/>
                <w:lang w:val="en-US" w:eastAsia="ja-JP"/>
              </w:rPr>
              <w:t xml:space="preserve">Note: </w:t>
            </w:r>
            <w:proofErr w:type="spellStart"/>
            <w:r w:rsidRPr="00FB2D76">
              <w:rPr>
                <w:rFonts w:eastAsia="MS Mincho"/>
                <w:iCs/>
                <w:highlight w:val="yellow"/>
                <w:lang w:val="en-US" w:eastAsia="ja-JP"/>
              </w:rPr>
              <w:t>Subband</w:t>
            </w:r>
            <w:proofErr w:type="spellEnd"/>
            <w:r w:rsidRPr="00FB2D76">
              <w:rPr>
                <w:rFonts w:eastAsia="MS Mincho"/>
                <w:iCs/>
                <w:highlight w:val="yellow"/>
                <w:lang w:val="en-US" w:eastAsia="ja-JP"/>
              </w:rPr>
              <w:t xml:space="preserve"> TPMI may correspond to W2 if dual-stage codebook is supported</w:t>
            </w:r>
          </w:p>
          <w:p w14:paraId="62112494" w14:textId="29D098FC" w:rsidR="0048629D" w:rsidRPr="00FB2D76" w:rsidRDefault="00FB2D76" w:rsidP="00FB2D76">
            <w:pPr>
              <w:numPr>
                <w:ilvl w:val="1"/>
                <w:numId w:val="44"/>
              </w:numPr>
              <w:spacing w:after="0"/>
              <w:rPr>
                <w:rFonts w:eastAsia="MS Mincho"/>
                <w:iCs/>
                <w:lang w:val="en-US" w:eastAsia="ja-JP"/>
              </w:rPr>
            </w:pPr>
            <w:r w:rsidRPr="0074580D">
              <w:rPr>
                <w:rFonts w:eastAsia="MS Mincho"/>
                <w:iCs/>
                <w:lang w:val="en-US" w:eastAsia="ja-JP"/>
              </w:rPr>
              <w:lastRenderedPageBreak/>
              <w:t xml:space="preserve">FFS whether or not wideband TPMI is always signaled along with </w:t>
            </w:r>
            <w:proofErr w:type="spellStart"/>
            <w:r w:rsidRPr="0074580D">
              <w:rPr>
                <w:rFonts w:eastAsia="MS Mincho"/>
                <w:iCs/>
                <w:lang w:val="en-US" w:eastAsia="ja-JP"/>
              </w:rPr>
              <w:t>subband</w:t>
            </w:r>
            <w:proofErr w:type="spellEnd"/>
            <w:r w:rsidRPr="0074580D">
              <w:rPr>
                <w:rFonts w:eastAsia="MS Mincho"/>
                <w:iCs/>
                <w:lang w:val="en-US" w:eastAsia="ja-JP"/>
              </w:rPr>
              <w:t xml:space="preserve"> TPMI</w:t>
            </w:r>
          </w:p>
        </w:tc>
      </w:tr>
    </w:tbl>
    <w:p w14:paraId="60861E2E" w14:textId="77777777" w:rsidR="005D6078" w:rsidRPr="008E3105" w:rsidRDefault="005D6078"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3"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A805F1">
      <w:pPr>
        <w:pStyle w:val="maintext"/>
        <w:numPr>
          <w:ilvl w:val="0"/>
          <w:numId w:val="29"/>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581E6D">
      <w:pPr>
        <w:pStyle w:val="maintext"/>
        <w:numPr>
          <w:ilvl w:val="0"/>
          <w:numId w:val="29"/>
        </w:numPr>
        <w:ind w:firstLineChars="0"/>
        <w:rPr>
          <w:lang w:val="en-US"/>
        </w:rPr>
      </w:pPr>
      <w:r w:rsidRPr="008E3105">
        <w:rPr>
          <w:lang w:val="en-US"/>
        </w:rPr>
        <w:t>Support for frequency selective precoding</w:t>
      </w:r>
    </w:p>
    <w:p w14:paraId="24EB5A0B" w14:textId="207EA9A3" w:rsidR="00741B03" w:rsidRDefault="0009129D" w:rsidP="00581E6D">
      <w:pPr>
        <w:pStyle w:val="maintext"/>
        <w:numPr>
          <w:ilvl w:val="0"/>
          <w:numId w:val="29"/>
        </w:numPr>
        <w:ind w:firstLineChars="0"/>
        <w:rPr>
          <w:lang w:val="en-US"/>
        </w:rPr>
      </w:pPr>
      <w:r w:rsidRPr="008E3105">
        <w:rPr>
          <w:lang w:val="en-US"/>
        </w:rPr>
        <w:t xml:space="preserve">UL </w:t>
      </w:r>
      <w:proofErr w:type="spellStart"/>
      <w:r w:rsidRPr="008E3105">
        <w:rPr>
          <w:lang w:val="en-US"/>
        </w:rPr>
        <w:t>f</w:t>
      </w:r>
      <w:r w:rsidR="00741B03" w:rsidRPr="008E3105">
        <w:rPr>
          <w:lang w:val="en-US"/>
        </w:rPr>
        <w:t>all-back</w:t>
      </w:r>
      <w:proofErr w:type="spellEnd"/>
      <w:r w:rsidR="00741B03" w:rsidRPr="008E3105">
        <w:rPr>
          <w:lang w:val="en-US"/>
        </w:rPr>
        <w:t xml:space="preserve"> transmission scheme</w:t>
      </w:r>
    </w:p>
    <w:p w14:paraId="3DB84237" w14:textId="637FA175" w:rsidR="00A805F1" w:rsidRPr="008E3105" w:rsidRDefault="00A805F1" w:rsidP="00581E6D">
      <w:pPr>
        <w:pStyle w:val="maintext"/>
        <w:numPr>
          <w:ilvl w:val="0"/>
          <w:numId w:val="29"/>
        </w:numPr>
        <w:ind w:firstLineChars="0"/>
        <w:rPr>
          <w:lang w:val="en-US"/>
        </w:rPr>
      </w:pPr>
      <w:r>
        <w:rPr>
          <w:lang w:val="en-US"/>
        </w:rPr>
        <w:t>UL codebook</w:t>
      </w:r>
    </w:p>
    <w:bookmarkEnd w:id="3"/>
    <w:p w14:paraId="4F1941BE" w14:textId="5943F3BD"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p>
    <w:p w14:paraId="567EC525" w14:textId="2B994F2B" w:rsidR="003976FE" w:rsidRPr="00FA1D2B" w:rsidRDefault="0009129D" w:rsidP="00A805F1">
      <w:pPr>
        <w:pStyle w:val="Heading1"/>
        <w:rPr>
          <w:sz w:val="28"/>
          <w:lang w:val="en-US"/>
        </w:rPr>
      </w:pPr>
      <w:r w:rsidRPr="00FA1D2B">
        <w:rPr>
          <w:sz w:val="28"/>
          <w:lang w:val="en-US"/>
        </w:rPr>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6BC208C6"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w:t>
      </w:r>
      <w:proofErr w:type="spellStart"/>
      <w:r w:rsidRPr="008E3105">
        <w:rPr>
          <w:lang w:val="en-US"/>
        </w:rPr>
        <w:t>precoder</w:t>
      </w:r>
      <w:proofErr w:type="spellEnd"/>
      <w:r w:rsidRPr="008E3105">
        <w:rPr>
          <w:lang w:val="en-US"/>
        </w:rPr>
        <w:t xml:space="preserve"> taken from a predefined codebook for a given number of layers, and TRI the number of transmission layers (hence enables rank determination by </w:t>
      </w:r>
      <w:proofErr w:type="spellStart"/>
      <w:r w:rsidRPr="008E3105">
        <w:rPr>
          <w:lang w:val="en-US"/>
        </w:rPr>
        <w:t>gNB</w:t>
      </w:r>
      <w:proofErr w:type="spellEnd"/>
      <w:r w:rsidRPr="008E3105">
        <w:rPr>
          <w:lang w:val="en-US"/>
        </w:rPr>
        <w:t xml:space="preserve">).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w:t>
      </w:r>
      <w:proofErr w:type="spellStart"/>
      <w:r w:rsidRPr="008E3105">
        <w:rPr>
          <w:lang w:val="en-US"/>
        </w:rPr>
        <w:t>precoder</w:t>
      </w:r>
      <w:proofErr w:type="spellEnd"/>
      <w:r w:rsidRPr="008E3105">
        <w:rPr>
          <w:lang w:val="en-US"/>
        </w:rPr>
        <w:t xml:space="preserve"> or </w:t>
      </w:r>
      <w:proofErr w:type="spellStart"/>
      <w:r w:rsidRPr="008E3105">
        <w:rPr>
          <w:lang w:val="en-US"/>
        </w:rPr>
        <w:t>beamformer</w:t>
      </w:r>
      <w:proofErr w:type="spellEnd"/>
      <w:r w:rsidRPr="008E3105">
        <w:rPr>
          <w:lang w:val="en-US"/>
        </w:rPr>
        <w:t xml:space="preserve">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w:t>
      </w:r>
      <w:proofErr w:type="spellStart"/>
      <w:r w:rsidRPr="008E3105">
        <w:rPr>
          <w:lang w:val="en-US"/>
        </w:rPr>
        <w:t>precoder</w:t>
      </w:r>
      <w:proofErr w:type="spellEnd"/>
      <w:r w:rsidRPr="008E3105">
        <w:rPr>
          <w:lang w:val="en-US"/>
        </w:rPr>
        <w:t xml:space="preserve">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 xml:space="preserve">PMI field which indicates a selection of </w:t>
      </w:r>
      <w:proofErr w:type="spellStart"/>
      <w:r w:rsidRPr="008E3105">
        <w:rPr>
          <w:lang w:val="en-US"/>
        </w:rPr>
        <w:t>precoder</w:t>
      </w:r>
      <w:proofErr w:type="spellEnd"/>
      <w:r w:rsidRPr="008E3105">
        <w:rPr>
          <w:lang w:val="en-US"/>
        </w:rPr>
        <w:t xml:space="preserve"> group can be used – if the </w:t>
      </w:r>
      <w:proofErr w:type="spellStart"/>
      <w:r w:rsidRPr="008E3105">
        <w:rPr>
          <w:lang w:val="en-US"/>
        </w:rPr>
        <w:t>precoder</w:t>
      </w:r>
      <w:proofErr w:type="spellEnd"/>
      <w:r w:rsidRPr="008E3105">
        <w:rPr>
          <w:lang w:val="en-US"/>
        </w:rPr>
        <w:t xml:space="preserve"> group information is to be signaled dynamically. If a dual-stage codebook (e.g. W1*W2) is adopted for larger number of ports, W1 (one PMI per grant) signifies a </w:t>
      </w:r>
      <w:proofErr w:type="spellStart"/>
      <w:r w:rsidRPr="008E3105">
        <w:rPr>
          <w:lang w:val="en-US"/>
        </w:rPr>
        <w:t>precoder</w:t>
      </w:r>
      <w:proofErr w:type="spellEnd"/>
      <w:r w:rsidRPr="008E3105">
        <w:rPr>
          <w:lang w:val="en-US"/>
        </w:rPr>
        <w:t xml:space="preserve">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FA1D2B">
      <w:pPr>
        <w:pStyle w:val="ListParagraph"/>
        <w:numPr>
          <w:ilvl w:val="0"/>
          <w:numId w:val="32"/>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w:t>
      </w:r>
      <w:proofErr w:type="spellStart"/>
      <w:r>
        <w:rPr>
          <w:i/>
          <w:lang w:val="en-US"/>
        </w:rPr>
        <w:t>precoder</w:t>
      </w:r>
      <w:proofErr w:type="spellEnd"/>
      <w:r>
        <w:rPr>
          <w:i/>
          <w:lang w:val="en-US"/>
        </w:rPr>
        <w:t xml:space="preserve">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616B92A7" w:rsidR="001D59B8" w:rsidRDefault="001D59B8" w:rsidP="0009129D">
      <w:pPr>
        <w:spacing w:before="60" w:after="60" w:line="288" w:lineRule="auto"/>
        <w:ind w:firstLine="446"/>
        <w:jc w:val="both"/>
        <w:rPr>
          <w:lang w:val="en-US" w:eastAsia="ko-KR"/>
        </w:rPr>
      </w:pPr>
      <w:r w:rsidRPr="001D59B8">
        <w:rPr>
          <w:rFonts w:hint="eastAsia"/>
          <w:lang w:val="en-US"/>
        </w:rPr>
        <w:t>In RAN1#87, support of frequency selective precoding when transmission ports is greater that X is agreed.</w:t>
      </w:r>
      <w:r w:rsidRPr="00643307">
        <w:rPr>
          <w:lang w:val="en-US"/>
        </w:rPr>
        <w:t xml:space="preserve"> </w:t>
      </w:r>
      <w:r>
        <w:rPr>
          <w:rFonts w:hint="eastAsia"/>
          <w:lang w:val="en-US" w:eastAsia="ko-KR"/>
        </w:rPr>
        <w:t>On this issue, detailed definition of antenna port has been discussed, but failed to reach an agreement. Several options of antenna port e.g. DMRS port, PUSCH port and SRS port are discussed. Firstly, DMRS port shall not be transmission port for UL frequency selective precoding. When UE supports transparent precoding, number of DMRS ports does not indicate actual transmission port, but indicates number of layers to be supported in UL transmission. Since performance benefit of frequency selective precoding comes from number of TXRUs, number of DMRS port is not an option of X. As well as DMRS port, same principle can be applied to PUSCH port. In most of case, number of PUSCH port is associated transmission layer. In that sense, number of PUSCH port is not applicable choice for number of X. In contrast to DMRS port and PUSCH port, SRS port to acquire UL channel information indicates possible number of TXRUs for UL data transmission. In that sense, the transmission ports should be SRS ports. For number of X, two alternatives can be considered as follows:</w:t>
      </w:r>
    </w:p>
    <w:p w14:paraId="589A3C04" w14:textId="21022E89" w:rsidR="001D59B8" w:rsidRDefault="001D59B8" w:rsidP="00643307">
      <w:pPr>
        <w:pStyle w:val="ListParagraph"/>
        <w:numPr>
          <w:ilvl w:val="0"/>
          <w:numId w:val="27"/>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643307">
      <w:pPr>
        <w:pStyle w:val="ListParagraph"/>
        <w:numPr>
          <w:ilvl w:val="1"/>
          <w:numId w:val="27"/>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643307">
      <w:pPr>
        <w:pStyle w:val="ListParagraph"/>
        <w:numPr>
          <w:ilvl w:val="0"/>
          <w:numId w:val="27"/>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643307">
      <w:pPr>
        <w:pStyle w:val="ListParagraph"/>
        <w:numPr>
          <w:ilvl w:val="1"/>
          <w:numId w:val="27"/>
        </w:numPr>
        <w:spacing w:before="60" w:after="60" w:line="288" w:lineRule="auto"/>
        <w:ind w:leftChars="0"/>
        <w:jc w:val="both"/>
        <w:rPr>
          <w:lang w:val="en-US"/>
        </w:rPr>
      </w:pPr>
      <w:r>
        <w:rPr>
          <w:rFonts w:hint="eastAsia"/>
          <w:lang w:val="en-US" w:eastAsia="ko-KR"/>
        </w:rPr>
        <w:lastRenderedPageBreak/>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w:t>
      </w:r>
      <w:proofErr w:type="spellStart"/>
      <w:r>
        <w:rPr>
          <w:rFonts w:hint="eastAsia"/>
          <w:lang w:val="en-US" w:eastAsia="ko-KR"/>
        </w:rPr>
        <w:t>subband</w:t>
      </w:r>
      <w:proofErr w:type="spellEnd"/>
      <w:r>
        <w:rPr>
          <w:rFonts w:hint="eastAsia"/>
          <w:lang w:val="en-US" w:eastAsia="ko-KR"/>
        </w:rPr>
        <w:t xml:space="preserve">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 xml:space="preserve">Additionally, in the case of </w:t>
      </w:r>
      <w:proofErr w:type="spellStart"/>
      <w:r>
        <w:rPr>
          <w:rFonts w:hint="eastAsia"/>
          <w:lang w:val="en-US" w:eastAsia="ko-KR"/>
        </w:rPr>
        <w:t>beamformed</w:t>
      </w:r>
      <w:proofErr w:type="spellEnd"/>
      <w:r>
        <w:rPr>
          <w:rFonts w:hint="eastAsia"/>
          <w:lang w:val="en-US" w:eastAsia="ko-KR"/>
        </w:rPr>
        <w:t xml:space="preserve">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3B9B2CA6"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Pr>
          <w:rFonts w:hint="eastAsia"/>
          <w:i/>
          <w:lang w:val="en-US" w:eastAsia="ko-KR"/>
        </w:rPr>
        <w:t xml:space="preserve">For transmission ports, SRS ports shall be supported. </w:t>
      </w:r>
    </w:p>
    <w:p w14:paraId="3E55811F" w14:textId="47517242" w:rsidR="001D59B8" w:rsidRDefault="001D59B8" w:rsidP="001D59B8">
      <w:pPr>
        <w:pStyle w:val="ListParagraph"/>
        <w:numPr>
          <w:ilvl w:val="0"/>
          <w:numId w:val="32"/>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6CD70442" w14:textId="77900E14" w:rsidR="001D59B8" w:rsidRDefault="001D59B8" w:rsidP="001D59B8">
      <w:pPr>
        <w:pStyle w:val="ListParagraph"/>
        <w:numPr>
          <w:ilvl w:val="0"/>
          <w:numId w:val="32"/>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2EC3198C" w:rsidR="0009129D" w:rsidRPr="008E3105" w:rsidRDefault="008E3105" w:rsidP="0009129D">
      <w:pPr>
        <w:spacing w:before="60" w:after="60" w:line="288" w:lineRule="auto"/>
        <w:ind w:firstLine="446"/>
        <w:jc w:val="both"/>
        <w:rPr>
          <w:lang w:val="en-US"/>
        </w:rPr>
      </w:pPr>
      <w:r w:rsidRPr="008E3105">
        <w:rPr>
          <w:lang w:val="en-US"/>
        </w:rPr>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based solution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09129D">
      <w:pPr>
        <w:pStyle w:val="ListParagraph"/>
        <w:numPr>
          <w:ilvl w:val="0"/>
          <w:numId w:val="27"/>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A85225">
      <w:pPr>
        <w:pStyle w:val="ListParagraph"/>
        <w:numPr>
          <w:ilvl w:val="1"/>
          <w:numId w:val="27"/>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efficiently used, rather than using a fixed “</w:t>
      </w:r>
      <w:proofErr w:type="spellStart"/>
      <w:r w:rsidR="004A5F57" w:rsidRPr="00A85225">
        <w:rPr>
          <w:lang w:val="en-US"/>
        </w:rPr>
        <w:t>subband</w:t>
      </w:r>
      <w:proofErr w:type="spellEnd"/>
      <w:r w:rsidR="004A5F57" w:rsidRPr="00A85225">
        <w:rPr>
          <w:lang w:val="en-US"/>
        </w:rPr>
        <w:t>” size (for a given UL system bandwidth), the “</w:t>
      </w:r>
      <w:proofErr w:type="spellStart"/>
      <w:r w:rsidR="004A5F57" w:rsidRPr="00A85225">
        <w:rPr>
          <w:lang w:val="en-US"/>
        </w:rPr>
        <w:t>subband</w:t>
      </w:r>
      <w:proofErr w:type="spellEnd"/>
      <w:r w:rsidR="004A5F57" w:rsidRPr="00A85225">
        <w:rPr>
          <w:lang w:val="en-US"/>
        </w:rPr>
        <w:t xml:space="preserve">” size 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w:t>
      </w:r>
      <w:proofErr w:type="spellStart"/>
      <w:r w:rsidR="004A5F57" w:rsidRPr="00A85225">
        <w:rPr>
          <w:lang w:val="en-US"/>
        </w:rPr>
        <w:t>subband</w:t>
      </w:r>
      <w:proofErr w:type="spellEnd"/>
      <w:r w:rsidR="004A5F57" w:rsidRPr="00A85225">
        <w:rPr>
          <w:lang w:val="en-US"/>
        </w:rPr>
        <w:t xml:space="preserve">”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A85225">
      <w:pPr>
        <w:pStyle w:val="ListParagraph"/>
        <w:numPr>
          <w:ilvl w:val="1"/>
          <w:numId w:val="27"/>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09129D">
      <w:pPr>
        <w:pStyle w:val="ListParagraph"/>
        <w:numPr>
          <w:ilvl w:val="0"/>
          <w:numId w:val="27"/>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09129D">
      <w:pPr>
        <w:pStyle w:val="ListParagraph"/>
        <w:numPr>
          <w:ilvl w:val="1"/>
          <w:numId w:val="27"/>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09129D">
      <w:pPr>
        <w:pStyle w:val="ListParagraph"/>
        <w:numPr>
          <w:ilvl w:val="1"/>
          <w:numId w:val="27"/>
        </w:numPr>
        <w:spacing w:before="60" w:after="60" w:line="288" w:lineRule="auto"/>
        <w:ind w:leftChars="0"/>
        <w:jc w:val="both"/>
        <w:rPr>
          <w:lang w:val="en-US"/>
        </w:rPr>
      </w:pPr>
      <w:r>
        <w:rPr>
          <w:lang w:val="en-US"/>
        </w:rPr>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A85225">
      <w:pPr>
        <w:pStyle w:val="ListParagraph"/>
        <w:numPr>
          <w:ilvl w:val="0"/>
          <w:numId w:val="38"/>
        </w:numPr>
        <w:spacing w:before="60" w:after="60" w:line="288" w:lineRule="auto"/>
        <w:ind w:leftChars="0"/>
        <w:jc w:val="both"/>
        <w:rPr>
          <w:i/>
          <w:lang w:val="en-US"/>
        </w:rPr>
      </w:pPr>
      <w:r w:rsidRPr="00A85225">
        <w:rPr>
          <w:i/>
          <w:lang w:val="en-US"/>
        </w:rPr>
        <w:t xml:space="preserve">The </w:t>
      </w:r>
      <w:r>
        <w:rPr>
          <w:i/>
          <w:lang w:val="en-US"/>
        </w:rPr>
        <w:t>“</w:t>
      </w:r>
      <w:proofErr w:type="spellStart"/>
      <w:r w:rsidRPr="00A85225">
        <w:rPr>
          <w:i/>
          <w:lang w:val="en-US"/>
        </w:rPr>
        <w:t>subband</w:t>
      </w:r>
      <w:proofErr w:type="spellEnd"/>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lastRenderedPageBreak/>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29.5pt" o:ole="">
            <v:imagedata r:id="rId8" o:title=""/>
          </v:shape>
          <o:OLEObject Type="Embed" ProgID="Visio.Drawing.11" ShapeID="_x0000_i1025" DrawAspect="Content" ObjectID="_1556565775" r:id="rId9"/>
        </w:object>
      </w:r>
    </w:p>
    <w:p w14:paraId="4901CEAE" w14:textId="1323408A"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566C74">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In contrast to gNB,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r w:rsidR="00023A42" w:rsidRPr="00604289">
        <w:rPr>
          <w:lang w:val="en-US" w:eastAsia="ko-KR"/>
        </w:rPr>
        <w:t>gNB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 xml:space="preserve">UL </w:t>
      </w:r>
      <w:proofErr w:type="spellStart"/>
      <w:r w:rsidRPr="008E3105">
        <w:rPr>
          <w:sz w:val="28"/>
          <w:lang w:val="en-US"/>
        </w:rPr>
        <w:t>fall-back</w:t>
      </w:r>
      <w:proofErr w:type="spellEnd"/>
      <w:r w:rsidRPr="008E3105">
        <w:rPr>
          <w:sz w:val="28"/>
          <w:lang w:val="en-US"/>
        </w:rPr>
        <w:t xml:space="preserve">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77777777"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proposed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t xml:space="preserve">For coverage-limited scenarios which can occur abruptly </w:t>
      </w:r>
      <w:r w:rsidR="00F858FC" w:rsidRPr="008E3105">
        <w:rPr>
          <w:lang w:val="en-US"/>
        </w:rPr>
        <w:t xml:space="preserve">yet remain for a prolonged period of time (such as bursty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fall-back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4B6CEBA1" w14:textId="337EDF24" w:rsidR="00D075D0" w:rsidRPr="008E3105" w:rsidRDefault="00D075D0" w:rsidP="00FA1D2B">
      <w:pPr>
        <w:pStyle w:val="maintext"/>
        <w:ind w:firstLineChars="0" w:firstLine="0"/>
        <w:rPr>
          <w:i/>
          <w:lang w:val="en-US"/>
        </w:rPr>
      </w:pPr>
      <w:r w:rsidRPr="008E3105">
        <w:rPr>
          <w:b/>
          <w:i/>
          <w:u w:val="single"/>
          <w:lang w:val="en-US"/>
        </w:rPr>
        <w:t>Proposal</w:t>
      </w:r>
      <w:r w:rsidRPr="008E3105">
        <w:rPr>
          <w:i/>
          <w:lang w:val="en-US"/>
        </w:rPr>
        <w:t xml:space="preserve">: CP-OFDM </w:t>
      </w:r>
      <w:r w:rsidR="00CA37A7" w:rsidRPr="008E3105">
        <w:rPr>
          <w:i/>
          <w:lang w:val="en-US"/>
        </w:rPr>
        <w:t xml:space="preserve">waveform is used </w:t>
      </w:r>
      <w:r w:rsidR="00D84744">
        <w:rPr>
          <w:i/>
          <w:lang w:val="en-US"/>
        </w:rPr>
        <w:t>with</w:t>
      </w:r>
      <w:r w:rsidR="00CA37A7" w:rsidRPr="008E3105">
        <w:rPr>
          <w:i/>
          <w:lang w:val="en-US"/>
        </w:rPr>
        <w:t xml:space="preserve"> rank-adapted transmission </w:t>
      </w:r>
      <w:r w:rsidRPr="008E3105">
        <w:rPr>
          <w:i/>
          <w:lang w:val="en-US"/>
        </w:rPr>
        <w:t>irresp</w:t>
      </w:r>
      <w:r w:rsidR="00CA37A7" w:rsidRPr="008E3105">
        <w:rPr>
          <w:i/>
          <w:lang w:val="en-US"/>
        </w:rPr>
        <w:t>ective of the rank</w:t>
      </w:r>
      <w:r w:rsidRPr="008E3105">
        <w:rPr>
          <w:i/>
          <w:lang w:val="en-US"/>
        </w:rPr>
        <w:t xml:space="preserve"> </w:t>
      </w:r>
    </w:p>
    <w:p w14:paraId="2C984C37" w14:textId="00D9EEB6" w:rsidR="00D075D0" w:rsidRPr="008E3105" w:rsidRDefault="00D075D0" w:rsidP="00FA1D2B">
      <w:pPr>
        <w:pStyle w:val="maintext"/>
        <w:numPr>
          <w:ilvl w:val="0"/>
          <w:numId w:val="30"/>
        </w:numPr>
        <w:ind w:firstLineChars="0"/>
        <w:rPr>
          <w:i/>
          <w:lang w:val="en-US"/>
        </w:rPr>
      </w:pPr>
      <w:r w:rsidRPr="008E3105">
        <w:rPr>
          <w:i/>
          <w:lang w:val="en-US"/>
        </w:rPr>
        <w:t>Single-stream</w:t>
      </w:r>
      <w:r w:rsidR="00CA37A7" w:rsidRPr="008E3105">
        <w:rPr>
          <w:i/>
          <w:lang w:val="en-US"/>
        </w:rPr>
        <w:t xml:space="preserve"> SC-FDMA</w:t>
      </w:r>
      <w:r w:rsidRPr="008E3105">
        <w:rPr>
          <w:i/>
          <w:lang w:val="en-US"/>
        </w:rPr>
        <w:t xml:space="preserve">-based transmission can be </w:t>
      </w:r>
      <w:r w:rsidR="00CA37A7" w:rsidRPr="008E3105">
        <w:rPr>
          <w:i/>
          <w:lang w:val="en-US"/>
        </w:rPr>
        <w:t xml:space="preserve">supported </w:t>
      </w:r>
      <w:r w:rsidRPr="008E3105">
        <w:rPr>
          <w:i/>
          <w:lang w:val="en-US"/>
        </w:rPr>
        <w:t>as a fallback transmission scheme</w:t>
      </w:r>
      <w:r w:rsidR="00CA37A7" w:rsidRPr="008E3105">
        <w:rPr>
          <w:i/>
          <w:lang w:val="en-US"/>
        </w:rPr>
        <w:t>, enabled via a compact UL-related DCI</w:t>
      </w:r>
      <w:r w:rsidRPr="008E3105">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11AF7FF2" w:rsidR="00A805F1" w:rsidRDefault="00A805F1" w:rsidP="00FA1D2B">
      <w:pPr>
        <w:pStyle w:val="Heading2"/>
        <w:numPr>
          <w:ilvl w:val="0"/>
          <w:numId w:val="39"/>
        </w:numPr>
        <w:rPr>
          <w:sz w:val="28"/>
          <w:lang w:val="en-US"/>
        </w:rPr>
      </w:pPr>
      <w:r>
        <w:rPr>
          <w:sz w:val="28"/>
          <w:lang w:val="en-US"/>
        </w:rPr>
        <w:t>UL codebook</w:t>
      </w:r>
    </w:p>
    <w:p w14:paraId="169E8C34" w14:textId="6C8A0ED4" w:rsidR="006B16F0" w:rsidRPr="008C3FDD" w:rsidRDefault="007C6C38" w:rsidP="00FA1D2B">
      <w:pPr>
        <w:spacing w:before="60" w:after="120" w:line="288" w:lineRule="auto"/>
        <w:ind w:firstLine="432"/>
        <w:jc w:val="both"/>
      </w:pPr>
      <w:r>
        <w:t>The</w:t>
      </w:r>
      <w:r w:rsidR="006B16F0">
        <w:t xml:space="preserve"> codebook-based UL transmission schemes include </w:t>
      </w:r>
      <w:r w:rsidRPr="00FA1D2B">
        <w:rPr>
          <w:lang w:val="en-US"/>
        </w:rPr>
        <w:t>frequency non-selective or</w:t>
      </w:r>
      <w:r>
        <w:rPr>
          <w:i/>
          <w:lang w:val="en-US"/>
        </w:rPr>
        <w:t xml:space="preserve"> </w:t>
      </w:r>
      <w:r>
        <w:rPr>
          <w:lang w:eastAsia="zh-CN"/>
        </w:rPr>
        <w:t xml:space="preserve">frequency-selective </w:t>
      </w:r>
      <w:r w:rsidR="006B16F0" w:rsidRPr="008E3DC0">
        <w:rPr>
          <w:lang w:eastAsia="zh-CN"/>
        </w:rPr>
        <w:t>precoding</w:t>
      </w:r>
      <w:r>
        <w:rPr>
          <w:lang w:eastAsia="zh-CN"/>
        </w:rPr>
        <w:t xml:space="preserve">, referred to as </w:t>
      </w:r>
      <w:r>
        <w:t>Transmission Scheme 1 (TS1),</w:t>
      </w:r>
      <w:r w:rsidR="006B16F0">
        <w:rPr>
          <w:lang w:eastAsia="zh-CN"/>
        </w:rPr>
        <w:t xml:space="preserve"> </w:t>
      </w:r>
      <w:r>
        <w:rPr>
          <w:lang w:eastAsia="zh-CN"/>
        </w:rPr>
        <w:t xml:space="preserve">and </w:t>
      </w:r>
      <w:r w:rsidR="00FA1D2B">
        <w:t>diversity-based scheme</w:t>
      </w:r>
      <w:r>
        <w:t xml:space="preserve">, referred to as </w:t>
      </w:r>
      <w:r>
        <w:rPr>
          <w:lang w:eastAsia="zh-CN"/>
        </w:rPr>
        <w:t xml:space="preserve">Transmission Scheme 2 (TS2). </w:t>
      </w:r>
      <w:r>
        <w:rPr>
          <w:lang w:eastAsia="zh-CN"/>
        </w:rPr>
        <w:lastRenderedPageBreak/>
        <w:t>F</w:t>
      </w:r>
      <w:r w:rsidR="006B16F0">
        <w:t>or TS1, a fixed number (</w:t>
      </w:r>
      <w:r w:rsidR="006B16F0" w:rsidRPr="00E32213">
        <w:rPr>
          <w:i/>
        </w:rPr>
        <w:t>N</w:t>
      </w:r>
      <w:r w:rsidR="006B16F0">
        <w:t>) of pre</w:t>
      </w:r>
      <w:r>
        <w:t>-</w:t>
      </w:r>
      <w:r w:rsidR="006B16F0">
        <w:t>coders (</w:t>
      </w:r>
      <w:r w:rsidR="006B16F0" w:rsidRPr="00E32213">
        <w:rPr>
          <w:i/>
        </w:rPr>
        <w:t>N</w:t>
      </w:r>
      <w:r w:rsidR="006B16F0">
        <w:t xml:space="preserve"> TPMIs) are indicated to a UE, and for TS2, a single PMI (TPMI) indicating a group of pre</w:t>
      </w:r>
      <w:r>
        <w:t>-</w:t>
      </w:r>
      <w:r w:rsidR="006B16F0">
        <w:t xml:space="preserve">coders is indicated. </w:t>
      </w:r>
      <w:r>
        <w:t>T</w:t>
      </w:r>
      <w:r w:rsidR="006B16F0">
        <w:t>he UL codebook for TPMI indication for both TS1 and TS2</w:t>
      </w:r>
      <w:r>
        <w:t xml:space="preserve"> is discussed in this section</w:t>
      </w:r>
      <w:r w:rsidR="006B16F0">
        <w:t xml:space="preserve">. </w:t>
      </w:r>
      <w:r>
        <w:t xml:space="preserve"> </w:t>
      </w:r>
    </w:p>
    <w:p w14:paraId="2E0DF391" w14:textId="73031593" w:rsidR="00A2115E" w:rsidRDefault="00A2115E" w:rsidP="00FA1D2B">
      <w:pPr>
        <w:pStyle w:val="maintext"/>
        <w:spacing w:after="120"/>
        <w:ind w:firstLineChars="0" w:firstLine="432"/>
      </w:pPr>
      <w:r>
        <w:rPr>
          <w:lang w:eastAsia="zh-CN"/>
        </w:rPr>
        <w:t>In LTE, UL codebook for 2 and 4 antenna ports are supported. The codebook includes pre-coders with antenna turn-offs (i.e., some antenna ports are assigned zero values) in order to keep peak-to-average power ratio (PAPR) low and cubic-metric (CM) for rank &gt; 1 small [</w:t>
      </w:r>
      <w:r w:rsidR="0010733A">
        <w:rPr>
          <w:lang w:eastAsia="zh-CN"/>
        </w:rPr>
        <w:t>2-5</w:t>
      </w:r>
      <w:r>
        <w:rPr>
          <w:lang w:eastAsia="zh-CN"/>
        </w:rPr>
        <w:t xml:space="preserve">]. But its benefit seems to be limited to cases such as DFT-S-OFDM based UL. For CP-OFDM based UL, the antenna turn-off may or may not be beneficial for transmission. It is therefore proposed that antenna turn-off is configurable in NR UL codebook. </w:t>
      </w:r>
      <w:r>
        <w:t>When turned ON, both pre-coders with and without antenna turn-offs are considered in TPMI indication. Otherwise, only pre-coders without antenna turn-offs are considered in TPMI indication.</w:t>
      </w:r>
      <w:r w:rsidR="0010733A">
        <w:t xml:space="preserve"> </w:t>
      </w:r>
    </w:p>
    <w:p w14:paraId="6845BFB7" w14:textId="650E3F82" w:rsidR="00A2115E" w:rsidRDefault="00A2115E" w:rsidP="00A2115E">
      <w:pPr>
        <w:pStyle w:val="maintext"/>
        <w:spacing w:after="120"/>
        <w:ind w:firstLineChars="0" w:firstLine="0"/>
        <w:rPr>
          <w:i/>
        </w:rPr>
      </w:pPr>
      <w:r w:rsidRPr="00FA1D2B">
        <w:rPr>
          <w:b/>
          <w:i/>
          <w:u w:val="single"/>
        </w:rPr>
        <w:t>Proposal</w:t>
      </w:r>
      <w:r w:rsidRPr="00662B7C">
        <w:rPr>
          <w:i/>
        </w:rPr>
        <w:t xml:space="preserve">: </w:t>
      </w:r>
      <w:r>
        <w:rPr>
          <w:i/>
        </w:rPr>
        <w:t>For rank-1 transmission, support configurable antenna turn-off in NR UL codebook design</w:t>
      </w:r>
    </w:p>
    <w:p w14:paraId="56D8B89B" w14:textId="77777777" w:rsidR="00A2115E" w:rsidRDefault="00A2115E" w:rsidP="00A2115E">
      <w:pPr>
        <w:pStyle w:val="maintext"/>
        <w:numPr>
          <w:ilvl w:val="0"/>
          <w:numId w:val="42"/>
        </w:numPr>
        <w:spacing w:after="120"/>
        <w:ind w:firstLineChars="0"/>
        <w:rPr>
          <w:i/>
        </w:rPr>
      </w:pPr>
      <w:r>
        <w:rPr>
          <w:i/>
        </w:rPr>
        <w:t>Only applicable when DFT-S-OFDM waveform is used.</w:t>
      </w:r>
    </w:p>
    <w:p w14:paraId="532EE614" w14:textId="2388E214" w:rsidR="00A2115E" w:rsidRDefault="00A2115E" w:rsidP="00FA1D2B">
      <w:pPr>
        <w:spacing w:before="60" w:after="120" w:line="288" w:lineRule="auto"/>
        <w:ind w:firstLine="360"/>
        <w:jc w:val="both"/>
      </w:pPr>
      <w:r>
        <w:t>Since for pre</w:t>
      </w:r>
      <w:r w:rsidR="00FE364F">
        <w:t>-</w:t>
      </w:r>
      <w:r>
        <w:t>coder cycling based TS2, TPMI indicates a group of pre</w:t>
      </w:r>
      <w:r w:rsidR="00FE364F">
        <w:t>-</w:t>
      </w:r>
      <w:r>
        <w:t>coders, pre</w:t>
      </w:r>
      <w:r w:rsidR="00FE364F">
        <w:t>-</w:t>
      </w:r>
      <w:r>
        <w:t>coders in UL codebook need to be grouped for cycling. Following DL codebook structure, a simple approach to group UL pre</w:t>
      </w:r>
      <w:r w:rsidR="00FE364F">
        <w:t>-</w:t>
      </w:r>
      <w:r>
        <w:t xml:space="preserve">coders is to consider a dual-stage codebook </w:t>
      </w:r>
      <w:r w:rsidRPr="00EA5E18">
        <w:rPr>
          <w:b/>
        </w:rPr>
        <w:t>W</w:t>
      </w:r>
      <w:r>
        <w:t xml:space="preserve"> = </w:t>
      </w:r>
      <w:r w:rsidRPr="00EA5E18">
        <w:rPr>
          <w:b/>
        </w:rPr>
        <w:t>W</w:t>
      </w:r>
      <w:r w:rsidRPr="00EA5E18">
        <w:rPr>
          <w:vertAlign w:val="subscript"/>
        </w:rPr>
        <w:t>1</w:t>
      </w:r>
      <w:r w:rsidRPr="00EA5E18">
        <w:rPr>
          <w:b/>
        </w:rPr>
        <w:t>W</w:t>
      </w:r>
      <w:r w:rsidRPr="00EA5E18">
        <w:rPr>
          <w:vertAlign w:val="subscript"/>
        </w:rPr>
        <w:t>2</w:t>
      </w:r>
      <w:r>
        <w:rPr>
          <w:vertAlign w:val="subscript"/>
        </w:rPr>
        <w:t xml:space="preserve"> </w:t>
      </w:r>
      <w:r>
        <w:t xml:space="preserve">for UL, where the first stage codebook </w:t>
      </w:r>
      <w:r w:rsidRPr="00EA5E18">
        <w:rPr>
          <w:b/>
        </w:rPr>
        <w:t>W</w:t>
      </w:r>
      <w:r w:rsidRPr="00EA5E18">
        <w:rPr>
          <w:vertAlign w:val="subscript"/>
        </w:rPr>
        <w:t>1</w:t>
      </w:r>
      <w:r w:rsidRPr="00B85DE4">
        <w:t xml:space="preserve"> is</w:t>
      </w:r>
      <w:r>
        <w:t xml:space="preserve"> used to form pre</w:t>
      </w:r>
      <w:r w:rsidR="00FE364F">
        <w:t>-</w:t>
      </w:r>
      <w:r>
        <w:t>coder groups. The dual-stage codebook is also be used for TS1, for example, to reduce the number of pre</w:t>
      </w:r>
      <w:r w:rsidR="00FE364F">
        <w:t>-</w:t>
      </w:r>
      <w:r>
        <w:t>coders for frequency-selective pre</w:t>
      </w:r>
      <w:r w:rsidR="00FE364F">
        <w:t>-</w:t>
      </w:r>
      <w:r>
        <w:t>coder selection, where pre</w:t>
      </w:r>
      <w:r w:rsidR="00FE364F">
        <w:t>-</w:t>
      </w:r>
      <w:r>
        <w:t xml:space="preserve">coder selection is performed using the second stage codebook </w:t>
      </w:r>
      <w:r w:rsidRPr="00EA5E18">
        <w:rPr>
          <w:b/>
        </w:rPr>
        <w:t>W</w:t>
      </w:r>
      <w:r w:rsidRPr="00EA5E18">
        <w:rPr>
          <w:vertAlign w:val="subscript"/>
        </w:rPr>
        <w:t>2</w:t>
      </w:r>
      <w:r>
        <w:t xml:space="preserve">. An example of UL codebook structure is shown in </w:t>
      </w:r>
      <w:r>
        <w:fldChar w:fldCharType="begin"/>
      </w:r>
      <w:r>
        <w:instrText xml:space="preserve"> REF _Ref473879664 \h </w:instrText>
      </w:r>
      <w:r>
        <w:fldChar w:fldCharType="separate"/>
      </w:r>
      <w:r w:rsidR="00566C74">
        <w:t xml:space="preserve">Figure </w:t>
      </w:r>
      <w:r w:rsidR="00566C74">
        <w:rPr>
          <w:noProof/>
        </w:rPr>
        <w:t>2</w:t>
      </w:r>
      <w:r>
        <w:fldChar w:fldCharType="end"/>
      </w:r>
      <w:r>
        <w:t xml:space="preserve"> in which there are </w:t>
      </w:r>
      <w:r w:rsidRPr="00127C50">
        <w:rPr>
          <w:i/>
        </w:rPr>
        <w:t>M</w:t>
      </w:r>
      <w:r>
        <w:t xml:space="preserve"> groups of pre</w:t>
      </w:r>
      <w:r w:rsidR="00FE364F">
        <w:t>-</w:t>
      </w:r>
      <w:r>
        <w:t xml:space="preserve">coders and each group comprises of </w:t>
      </w:r>
      <w:r w:rsidRPr="00127C50">
        <w:rPr>
          <w:i/>
        </w:rPr>
        <w:t>N</w:t>
      </w:r>
      <w:r>
        <w:t xml:space="preserve"> pre</w:t>
      </w:r>
      <w:r w:rsidR="00FE364F">
        <w:t>-</w:t>
      </w:r>
      <w:r>
        <w:t xml:space="preserve">coders. </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26" type="#_x0000_t75" style="width:229pt;height:157pt" o:ole="">
            <v:imagedata r:id="rId10" o:title=""/>
          </v:shape>
          <o:OLEObject Type="Embed" ProgID="Visio.Drawing.11" ShapeID="_x0000_i1026" DrawAspect="Content" ObjectID="_1556565776" r:id="rId11"/>
        </w:object>
      </w:r>
    </w:p>
    <w:p w14:paraId="54168391" w14:textId="5555F1D4" w:rsidR="00A2115E" w:rsidRDefault="00A2115E" w:rsidP="00A2115E">
      <w:pPr>
        <w:pStyle w:val="Caption"/>
        <w:spacing w:before="60" w:after="120" w:line="288" w:lineRule="auto"/>
        <w:jc w:val="center"/>
      </w:pPr>
      <w:bookmarkStart w:id="4" w:name="_Ref473879664"/>
      <w:r>
        <w:t xml:space="preserve">Figure </w:t>
      </w:r>
      <w:r>
        <w:fldChar w:fldCharType="begin"/>
      </w:r>
      <w:r>
        <w:instrText xml:space="preserve"> SEQ Figure \* ARABIC </w:instrText>
      </w:r>
      <w:r>
        <w:fldChar w:fldCharType="separate"/>
      </w:r>
      <w:r w:rsidR="00566C74">
        <w:rPr>
          <w:noProof/>
        </w:rPr>
        <w:t>2</w:t>
      </w:r>
      <w:r>
        <w:fldChar w:fldCharType="end"/>
      </w:r>
      <w:bookmarkEnd w:id="4"/>
      <w:r>
        <w:t>: UL codebook structure</w:t>
      </w:r>
    </w:p>
    <w:p w14:paraId="7EC227EA" w14:textId="77777777" w:rsidR="00A2115E" w:rsidRDefault="00A2115E" w:rsidP="00A2115E">
      <w:pPr>
        <w:spacing w:before="60" w:after="120" w:line="288" w:lineRule="auto"/>
        <w:jc w:val="both"/>
      </w:pPr>
      <w:r>
        <w:t>To construct</w:t>
      </w:r>
      <w:r w:rsidRPr="00127C50">
        <w:t xml:space="preserve"> UL</w:t>
      </w:r>
      <w:r>
        <w:t xml:space="preserve"> codebook, the following cases are considered.</w:t>
      </w:r>
    </w:p>
    <w:p w14:paraId="79823ED4" w14:textId="610253C1" w:rsidR="00A2115E" w:rsidRDefault="00A2115E" w:rsidP="00A2115E">
      <w:pPr>
        <w:pStyle w:val="ListParagraph"/>
        <w:numPr>
          <w:ilvl w:val="0"/>
          <w:numId w:val="40"/>
        </w:numPr>
        <w:spacing w:before="60" w:after="120" w:line="288" w:lineRule="auto"/>
        <w:ind w:leftChars="0"/>
        <w:jc w:val="both"/>
      </w:pPr>
      <w:r>
        <w:t xml:space="preserve">If antenna turn-off is </w:t>
      </w:r>
      <w:r w:rsidRPr="00101598">
        <w:rPr>
          <w:i/>
        </w:rPr>
        <w:t>not configured</w:t>
      </w:r>
      <w:r>
        <w:t>, then pre</w:t>
      </w:r>
      <w:r w:rsidR="00FE364F">
        <w:t>-</w:t>
      </w:r>
      <w:r>
        <w:t>coder grouping is based on correlation, i.e., pre</w:t>
      </w:r>
      <w:r w:rsidR="00FE364F">
        <w:t>-</w:t>
      </w:r>
      <w:r>
        <w:t>coders with high-correlation (or spatially adjacent pre</w:t>
      </w:r>
      <w:r w:rsidR="00FE364F">
        <w:t>-</w:t>
      </w:r>
      <w:r>
        <w:t>coders) form a group.</w:t>
      </w:r>
    </w:p>
    <w:p w14:paraId="14B150EA" w14:textId="2E29FFED" w:rsidR="00A2115E" w:rsidRDefault="00A2115E" w:rsidP="00A2115E">
      <w:pPr>
        <w:pStyle w:val="ListParagraph"/>
        <w:numPr>
          <w:ilvl w:val="0"/>
          <w:numId w:val="40"/>
        </w:numPr>
        <w:spacing w:before="60" w:after="120" w:line="288" w:lineRule="auto"/>
        <w:ind w:leftChars="0"/>
        <w:jc w:val="both"/>
      </w:pPr>
      <w:r>
        <w:t xml:space="preserve">If antenna turn-off is </w:t>
      </w:r>
      <w:r w:rsidRPr="00101598">
        <w:rPr>
          <w:i/>
        </w:rPr>
        <w:t>configured</w:t>
      </w:r>
      <w:r>
        <w:t>, then pre</w:t>
      </w:r>
      <w:r w:rsidR="00FE364F">
        <w:t>-</w:t>
      </w:r>
      <w:r>
        <w:t>coder grouping is such that pre</w:t>
      </w:r>
      <w:r w:rsidR="00FE364F">
        <w:t>-</w:t>
      </w:r>
      <w:r>
        <w:t>coders which having zeros at the same entries form a group. Note that this is to ensure that pre</w:t>
      </w:r>
      <w:r w:rsidR="00FE364F">
        <w:t>-</w:t>
      </w:r>
      <w:r>
        <w:t xml:space="preserve">coders in a group have high correlation. </w:t>
      </w:r>
    </w:p>
    <w:p w14:paraId="7179EB42" w14:textId="26808A78" w:rsidR="00A2115E" w:rsidRDefault="00A2115E" w:rsidP="00A2115E">
      <w:pPr>
        <w:spacing w:before="60" w:after="120" w:line="288" w:lineRule="auto"/>
        <w:jc w:val="both"/>
        <w:rPr>
          <w:b/>
          <w:i/>
        </w:rPr>
      </w:pPr>
      <w:r>
        <w:t xml:space="preserve">For UL codebook </w:t>
      </w:r>
      <w:r w:rsidRPr="00DC0FE1">
        <w:rPr>
          <w:b/>
        </w:rPr>
        <w:t>W</w:t>
      </w:r>
      <w:r>
        <w:t>, both LTE UL codebook for 2 and 4 ports, and NR Type I C</w:t>
      </w:r>
      <w:r w:rsidR="00474000">
        <w:t xml:space="preserve">SI codebook for 2, 4, </w:t>
      </w:r>
      <w:r>
        <w:t>and 8</w:t>
      </w:r>
      <w:r w:rsidRPr="00652179">
        <w:t xml:space="preserve"> ports, proposed in [</w:t>
      </w:r>
      <w:r w:rsidR="00FE364F">
        <w:t>6]</w:t>
      </w:r>
      <w:r w:rsidRPr="00652179">
        <w:t xml:space="preserve">, can be considered as the starting point.   </w:t>
      </w:r>
    </w:p>
    <w:p w14:paraId="6D434367" w14:textId="6176FF23" w:rsidR="00A2115E" w:rsidRPr="00652179" w:rsidRDefault="00A2115E" w:rsidP="00A2115E">
      <w:pPr>
        <w:pStyle w:val="maintext"/>
        <w:spacing w:after="120"/>
        <w:ind w:firstLineChars="0" w:firstLine="0"/>
        <w:rPr>
          <w:i/>
        </w:rPr>
      </w:pPr>
      <w:r w:rsidRPr="00FA1D2B">
        <w:rPr>
          <w:b/>
          <w:i/>
          <w:u w:val="single"/>
        </w:rPr>
        <w:t>Proposal</w:t>
      </w:r>
      <w:r w:rsidRPr="00652179">
        <w:rPr>
          <w:i/>
        </w:rPr>
        <w:t xml:space="preserve">: 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AC01C9">
        <w:rPr>
          <w:i/>
        </w:rPr>
        <w:t xml:space="preserve">the first stage codebook </w:t>
      </w:r>
      <w:r w:rsidRPr="00AC01C9">
        <w:rPr>
          <w:b/>
          <w:i/>
        </w:rPr>
        <w:t>W</w:t>
      </w:r>
      <w:r w:rsidRPr="00AC01C9">
        <w:rPr>
          <w:i/>
          <w:vertAlign w:val="subscript"/>
        </w:rPr>
        <w:t>1</w:t>
      </w:r>
      <w:r w:rsidRPr="00AC01C9">
        <w:rPr>
          <w:i/>
        </w:rPr>
        <w:t xml:space="preserve"> is used to </w:t>
      </w:r>
      <w:r>
        <w:rPr>
          <w:i/>
        </w:rPr>
        <w:t>select a</w:t>
      </w:r>
      <w:r w:rsidRPr="00AC01C9">
        <w:rPr>
          <w:i/>
        </w:rPr>
        <w:t xml:space="preserve"> pre</w:t>
      </w:r>
      <w:r w:rsidR="004465B5">
        <w:rPr>
          <w:i/>
        </w:rPr>
        <w:t>-</w:t>
      </w:r>
      <w:r w:rsidRPr="00AC01C9">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4465B5">
        <w:rPr>
          <w:i/>
        </w:rPr>
        <w:t>-</w:t>
      </w:r>
      <w:r>
        <w:rPr>
          <w:i/>
        </w:rPr>
        <w:t xml:space="preserve">coder from the selected </w:t>
      </w:r>
      <w:r w:rsidR="004465B5">
        <w:rPr>
          <w:i/>
        </w:rPr>
        <w:t>p</w:t>
      </w:r>
      <w:r>
        <w:rPr>
          <w:i/>
        </w:rPr>
        <w:t>r</w:t>
      </w:r>
      <w:r w:rsidR="004465B5">
        <w:rPr>
          <w:i/>
        </w:rPr>
        <w:t>e-</w:t>
      </w:r>
      <w:r>
        <w:rPr>
          <w:i/>
        </w:rPr>
        <w:t>coder group</w:t>
      </w:r>
      <w:r w:rsidRPr="00652179">
        <w:rPr>
          <w:i/>
        </w:rPr>
        <w:t xml:space="preserve">. </w:t>
      </w:r>
    </w:p>
    <w:p w14:paraId="487DAD25" w14:textId="4477F7EE" w:rsidR="00A2115E" w:rsidRDefault="00A2115E" w:rsidP="00A2115E">
      <w:pPr>
        <w:pStyle w:val="maintext"/>
        <w:numPr>
          <w:ilvl w:val="0"/>
          <w:numId w:val="41"/>
        </w:numPr>
        <w:spacing w:after="120"/>
        <w:ind w:firstLineChars="0"/>
        <w:rPr>
          <w:i/>
        </w:rPr>
      </w:pPr>
      <w:r>
        <w:rPr>
          <w:i/>
        </w:rPr>
        <w:t xml:space="preserve">For TS2, </w:t>
      </w:r>
      <w:r w:rsidRPr="00AC01C9">
        <w:rPr>
          <w:b/>
          <w:i/>
        </w:rPr>
        <w:t>W</w:t>
      </w:r>
      <w:r w:rsidRPr="00AC01C9">
        <w:rPr>
          <w:i/>
          <w:vertAlign w:val="subscript"/>
        </w:rPr>
        <w:t>1</w:t>
      </w:r>
      <w:r>
        <w:rPr>
          <w:i/>
        </w:rPr>
        <w:t xml:space="preserve"> codebook is used, and for TS1, both </w:t>
      </w:r>
      <w:r w:rsidRPr="00AC01C9">
        <w:rPr>
          <w:b/>
          <w:i/>
        </w:rPr>
        <w:t>W</w:t>
      </w:r>
      <w:r w:rsidRPr="00AC01C9">
        <w:rPr>
          <w:i/>
          <w:vertAlign w:val="subscript"/>
        </w:rPr>
        <w:t>1</w:t>
      </w:r>
      <w:r>
        <w:rPr>
          <w:i/>
        </w:rPr>
        <w:t xml:space="preserve"> and </w:t>
      </w:r>
      <w:r w:rsidRPr="00AC01C9">
        <w:rPr>
          <w:b/>
          <w:i/>
        </w:rPr>
        <w:t>W</w:t>
      </w:r>
      <w:r w:rsidRPr="00AC01C9">
        <w:rPr>
          <w:i/>
          <w:vertAlign w:val="subscript"/>
        </w:rPr>
        <w:t>2</w:t>
      </w:r>
      <w:r>
        <w:rPr>
          <w:i/>
        </w:rPr>
        <w:t xml:space="preserve"> codebooks are used.</w:t>
      </w:r>
    </w:p>
    <w:p w14:paraId="18683F7B" w14:textId="7C599625" w:rsidR="00A2115E" w:rsidRPr="00A75577" w:rsidRDefault="00A2115E" w:rsidP="00A2115E">
      <w:pPr>
        <w:pStyle w:val="maintext"/>
        <w:numPr>
          <w:ilvl w:val="0"/>
          <w:numId w:val="41"/>
        </w:numPr>
        <w:spacing w:after="120"/>
        <w:ind w:firstLineChars="0"/>
        <w:rPr>
          <w:i/>
        </w:rPr>
      </w:pPr>
      <w:r w:rsidRPr="00A75577">
        <w:rPr>
          <w:i/>
        </w:rPr>
        <w:t>When antenna turn-off is not configured, then pre</w:t>
      </w:r>
      <w:r w:rsidR="004465B5">
        <w:rPr>
          <w:i/>
        </w:rPr>
        <w:t>-</w:t>
      </w:r>
      <w:r w:rsidRPr="00A75577">
        <w:rPr>
          <w:i/>
        </w:rPr>
        <w:t>coder grouping is based on correlation. Otherwise, it is such that pre</w:t>
      </w:r>
      <w:r w:rsidR="004465B5">
        <w:rPr>
          <w:i/>
        </w:rPr>
        <w:t>-</w:t>
      </w:r>
      <w:r w:rsidRPr="00A75577">
        <w:rPr>
          <w:i/>
        </w:rPr>
        <w:t>coders hav</w:t>
      </w:r>
      <w:r>
        <w:rPr>
          <w:i/>
        </w:rPr>
        <w:t>ing</w:t>
      </w:r>
      <w:r w:rsidRPr="00A75577">
        <w:rPr>
          <w:i/>
        </w:rPr>
        <w:t xml:space="preserve"> zeros at the same entries form a group.</w:t>
      </w:r>
    </w:p>
    <w:p w14:paraId="72581FC2" w14:textId="125A019C" w:rsidR="00A2115E" w:rsidRPr="00A75577" w:rsidRDefault="00A2115E" w:rsidP="00A2115E">
      <w:pPr>
        <w:pStyle w:val="maintext"/>
        <w:numPr>
          <w:ilvl w:val="0"/>
          <w:numId w:val="41"/>
        </w:numPr>
        <w:spacing w:after="120"/>
        <w:ind w:firstLineChars="0"/>
        <w:rPr>
          <w:i/>
        </w:rPr>
      </w:pPr>
      <w:r>
        <w:rPr>
          <w:i/>
        </w:rPr>
        <w:t>C</w:t>
      </w:r>
      <w:r w:rsidRPr="00A75577">
        <w:rPr>
          <w:i/>
        </w:rPr>
        <w:t xml:space="preserve">onsider </w:t>
      </w:r>
      <w:r>
        <w:rPr>
          <w:i/>
        </w:rPr>
        <w:t xml:space="preserve">both </w:t>
      </w:r>
      <w:r w:rsidRPr="00A75577">
        <w:rPr>
          <w:i/>
        </w:rPr>
        <w:t>LTE UL codebook for 2 and 4 ports, and NR Type I CSI codebook for 2, 4, and 8 ports, proposed in [</w:t>
      </w:r>
      <w:r w:rsidR="004465B5">
        <w:rPr>
          <w:i/>
        </w:rPr>
        <w:t>6</w:t>
      </w:r>
      <w:r w:rsidRPr="00A75577">
        <w:rPr>
          <w:i/>
        </w:rPr>
        <w:t>].</w:t>
      </w:r>
    </w:p>
    <w:p w14:paraId="39C739A8" w14:textId="6FD636C4" w:rsidR="00A2115E" w:rsidRDefault="00A2115E" w:rsidP="00A2115E">
      <w:pPr>
        <w:spacing w:before="60" w:after="120" w:line="288" w:lineRule="auto"/>
        <w:jc w:val="both"/>
      </w:pPr>
      <w:r>
        <w:lastRenderedPageBreak/>
        <w:t>As proposed in [</w:t>
      </w:r>
      <w:r w:rsidR="004465B5">
        <w:t>6</w:t>
      </w:r>
      <w:r>
        <w:t>], the DL codebook for Type I CSI reporting is parameterized by parameters such as number of ports in two dimensions,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t>, oversampling factors in two dimensions, (</w:t>
      </w:r>
      <w:r w:rsidRPr="00DB70D8">
        <w:rPr>
          <w:i/>
        </w:rPr>
        <w:t>O</w:t>
      </w:r>
      <w:r w:rsidRPr="00DB70D8">
        <w:rPr>
          <w:vertAlign w:val="subscript"/>
        </w:rPr>
        <w:t>1</w:t>
      </w:r>
      <w:r>
        <w:t xml:space="preserve">, </w:t>
      </w:r>
      <w:r w:rsidRPr="00DB70D8">
        <w:rPr>
          <w:i/>
        </w:rPr>
        <w:t>O</w:t>
      </w:r>
      <w:r w:rsidRPr="00DB70D8">
        <w:rPr>
          <w:vertAlign w:val="subscript"/>
        </w:rPr>
        <w:t>2</w:t>
      </w:r>
      <w:r>
        <w:t>), one of non-orthogonal or orthogonal basis set, and number of beams (</w:t>
      </w:r>
      <w:r w:rsidRPr="00DB70D8">
        <w:rPr>
          <w:i/>
        </w:rPr>
        <w:t>L</w:t>
      </w:r>
      <w:r>
        <w:rPr>
          <w:i/>
        </w:rPr>
        <w:t xml:space="preserve"> = </w:t>
      </w:r>
      <w:r w:rsidRPr="00DB70D8">
        <w:t>1, 4</w:t>
      </w:r>
      <w:r>
        <w:t>) for beam group selection from the basis set. For UL codebook,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t>, (</w:t>
      </w:r>
      <w:r w:rsidRPr="00DB70D8">
        <w:rPr>
          <w:i/>
        </w:rPr>
        <w:t>O</w:t>
      </w:r>
      <w:r w:rsidRPr="00DB70D8">
        <w:rPr>
          <w:vertAlign w:val="subscript"/>
        </w:rPr>
        <w:t>1</w:t>
      </w:r>
      <w:r>
        <w:t xml:space="preserve">, </w:t>
      </w:r>
      <w:r w:rsidRPr="00DB70D8">
        <w:rPr>
          <w:i/>
        </w:rPr>
        <w:t>O</w:t>
      </w:r>
      <w:r w:rsidRPr="00DB70D8">
        <w:rPr>
          <w:vertAlign w:val="subscript"/>
        </w:rPr>
        <w:t>2</w:t>
      </w:r>
      <w:r>
        <w:t>) (e.g. (</w:t>
      </w:r>
      <w:r w:rsidR="00403D32">
        <w:t>4</w:t>
      </w:r>
      <w:r>
        <w:t xml:space="preserve">, </w:t>
      </w:r>
      <w:r w:rsidR="00403D32">
        <w:t>4</w:t>
      </w:r>
      <w:r>
        <w:t>)), and basis set type (e.g. non-orthogonal) can be fixed. The number of beams (</w:t>
      </w:r>
      <w:r w:rsidRPr="00DB70D8">
        <w:rPr>
          <w:i/>
        </w:rPr>
        <w:t>L</w:t>
      </w:r>
      <w:r>
        <w:t xml:space="preserve"> value) can be configured to the UE.   </w:t>
      </w:r>
    </w:p>
    <w:p w14:paraId="2AFBB654" w14:textId="28149B26" w:rsidR="00A2115E" w:rsidRDefault="00A2115E" w:rsidP="00A2115E">
      <w:pPr>
        <w:spacing w:before="60" w:after="120" w:line="288" w:lineRule="auto"/>
        <w:rPr>
          <w:i/>
          <w:iCs/>
          <w:lang w:eastAsia="ko-KR"/>
        </w:rPr>
      </w:pPr>
      <w:r w:rsidRPr="00FA1D2B">
        <w:rPr>
          <w:b/>
          <w:i/>
          <w:iCs/>
          <w:u w:val="single"/>
          <w:lang w:eastAsia="ko-KR"/>
        </w:rPr>
        <w:t>Proposal</w:t>
      </w:r>
      <w:r>
        <w:rPr>
          <w:i/>
          <w:iCs/>
          <w:lang w:eastAsia="ko-KR"/>
        </w:rPr>
        <w:t xml:space="preserve">: If UL codebook is the same as DL codebook for Type I CSI, then </w:t>
      </w:r>
      <w:r w:rsidRPr="00DB70D8">
        <w:rPr>
          <w:i/>
          <w:iCs/>
          <w:lang w:eastAsia="ko-KR"/>
        </w:rPr>
        <w:t>codebook parameters,</w:t>
      </w:r>
      <w:r w:rsidRPr="00DB70D8">
        <w:rPr>
          <w:b/>
          <w:i/>
          <w:iCs/>
          <w:lang w:eastAsia="ko-KR"/>
        </w:rPr>
        <w:t xml:space="preserve"> </w:t>
      </w:r>
      <w:r w:rsidRPr="00DB70D8">
        <w:rPr>
          <w:i/>
        </w:rPr>
        <w:t>(N</w:t>
      </w:r>
      <w:r w:rsidRPr="00DB70D8">
        <w:rPr>
          <w:i/>
          <w:vertAlign w:val="subscript"/>
        </w:rPr>
        <w:t>1</w:t>
      </w:r>
      <w:r w:rsidRPr="00DB70D8">
        <w:rPr>
          <w:i/>
        </w:rPr>
        <w:t>, N</w:t>
      </w:r>
      <w:r w:rsidRPr="00DB70D8">
        <w:rPr>
          <w:i/>
          <w:vertAlign w:val="subscript"/>
        </w:rPr>
        <w:t>2</w:t>
      </w:r>
      <w:r w:rsidRPr="00DB70D8">
        <w:rPr>
          <w:i/>
        </w:rPr>
        <w:t>), (O</w:t>
      </w:r>
      <w:r w:rsidRPr="00DB70D8">
        <w:rPr>
          <w:i/>
          <w:vertAlign w:val="subscript"/>
        </w:rPr>
        <w:t>1</w:t>
      </w:r>
      <w:r w:rsidRPr="00DB70D8">
        <w:rPr>
          <w:i/>
        </w:rPr>
        <w:t>, O</w:t>
      </w:r>
      <w:r w:rsidRPr="00DB70D8">
        <w:rPr>
          <w:i/>
          <w:vertAlign w:val="subscript"/>
        </w:rPr>
        <w:t>2</w:t>
      </w:r>
      <w:r w:rsidRPr="00DB70D8">
        <w:rPr>
          <w:i/>
        </w:rPr>
        <w:t>)</w:t>
      </w:r>
      <w:r>
        <w:rPr>
          <w:i/>
        </w:rPr>
        <w:t xml:space="preserve">, </w:t>
      </w:r>
      <w:r w:rsidRPr="00DB70D8">
        <w:rPr>
          <w:i/>
        </w:rPr>
        <w:t>and basis set type (</w:t>
      </w:r>
      <w:r>
        <w:rPr>
          <w:i/>
        </w:rPr>
        <w:t xml:space="preserve">e.g. </w:t>
      </w:r>
      <w:r w:rsidRPr="00DB70D8">
        <w:rPr>
          <w:i/>
        </w:rPr>
        <w:t xml:space="preserve">non-orthogonal) are fixed. The number of </w:t>
      </w:r>
      <w:r>
        <w:rPr>
          <w:i/>
        </w:rPr>
        <w:t>pre</w:t>
      </w:r>
      <w:r w:rsidR="004465B5">
        <w:rPr>
          <w:i/>
        </w:rPr>
        <w:t>-</w:t>
      </w:r>
      <w:r>
        <w:rPr>
          <w:i/>
        </w:rPr>
        <w:t>coders/</w:t>
      </w:r>
      <w:r w:rsidRPr="00DB70D8">
        <w:rPr>
          <w:i/>
        </w:rPr>
        <w:t>beams (L value)</w:t>
      </w:r>
      <w:r>
        <w:rPr>
          <w:i/>
        </w:rPr>
        <w:t xml:space="preserve"> that form a </w:t>
      </w:r>
      <w:r w:rsidRPr="000B2517">
        <w:rPr>
          <w:b/>
          <w:i/>
        </w:rPr>
        <w:t>W</w:t>
      </w:r>
      <w:r w:rsidRPr="000B2517">
        <w:rPr>
          <w:i/>
          <w:vertAlign w:val="subscript"/>
        </w:rPr>
        <w:t>1</w:t>
      </w:r>
      <w:r>
        <w:rPr>
          <w:i/>
        </w:rPr>
        <w:t xml:space="preserve"> group</w:t>
      </w:r>
      <w:r w:rsidRPr="00DB70D8">
        <w:rPr>
          <w:i/>
        </w:rPr>
        <w:t xml:space="preserve">, however, </w:t>
      </w:r>
      <w:r>
        <w:rPr>
          <w:i/>
        </w:rPr>
        <w:t>is</w:t>
      </w:r>
      <w:r w:rsidRPr="00DB70D8">
        <w:rPr>
          <w:i/>
        </w:rPr>
        <w:t xml:space="preserve"> configured to the UE.</w:t>
      </w:r>
      <w:r>
        <w:t xml:space="preserve">    </w:t>
      </w:r>
    </w:p>
    <w:p w14:paraId="70CC8C99" w14:textId="77777777" w:rsidR="00A2115E" w:rsidRPr="00FA1D2B" w:rsidRDefault="00A2115E" w:rsidP="00FA1D2B">
      <w:pPr>
        <w:rPr>
          <w:lang w:val="en-US"/>
        </w:rPr>
      </w:pPr>
    </w:p>
    <w:p w14:paraId="10C440C7" w14:textId="53F5DBF2" w:rsidR="00CB01E4" w:rsidRPr="005109AE" w:rsidRDefault="00CB01E4" w:rsidP="00234252">
      <w:pPr>
        <w:pStyle w:val="Heading2"/>
        <w:numPr>
          <w:ilvl w:val="0"/>
          <w:numId w:val="1"/>
        </w:numPr>
        <w:rPr>
          <w:sz w:val="28"/>
          <w:lang w:val="en-US"/>
        </w:rPr>
      </w:pPr>
      <w:r w:rsidRPr="005109AE">
        <w:rPr>
          <w:sz w:val="28"/>
          <w:lang w:val="en-US"/>
        </w:rPr>
        <w:t>Simulation results</w:t>
      </w:r>
    </w:p>
    <w:p w14:paraId="5D64F61D" w14:textId="77777777" w:rsidR="000401D8" w:rsidRDefault="00067C62" w:rsidP="00067C62">
      <w:pPr>
        <w:spacing w:before="60" w:after="60" w:line="288" w:lineRule="auto"/>
        <w:ind w:firstLine="450"/>
        <w:jc w:val="both"/>
      </w:pPr>
      <w:r w:rsidRPr="00A40E09">
        <w:rPr>
          <w:lang w:val="en-US"/>
        </w:rPr>
        <w:t>In this</w:t>
      </w:r>
      <w:r>
        <w:rPr>
          <w:lang w:val="en-US"/>
        </w:rPr>
        <w:t xml:space="preserve"> section, system-level evaluation of the </w:t>
      </w:r>
      <w:r w:rsidR="005109AE">
        <w:rPr>
          <w:lang w:val="en-US"/>
        </w:rPr>
        <w:t>frequency-selective precoding</w:t>
      </w:r>
      <w:r>
        <w:rPr>
          <w:lang w:val="en-US"/>
        </w:rPr>
        <w:t xml:space="preserve"> scheme outlined in </w:t>
      </w:r>
      <w:r w:rsidR="005109AE">
        <w:rPr>
          <w:lang w:val="en-US"/>
        </w:rPr>
        <w:t>Section 3</w:t>
      </w:r>
      <w:r>
        <w:rPr>
          <w:lang w:val="en-US"/>
        </w:rPr>
        <w:t xml:space="preserve"> is provided. </w:t>
      </w:r>
      <w:r>
        <w:t>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 xml:space="preserve">carried out </w:t>
      </w:r>
      <w:r w:rsidRPr="004E5326">
        <w:rPr>
          <w:rFonts w:hint="eastAsia"/>
        </w:rPr>
        <w:t xml:space="preserve">in </w:t>
      </w:r>
      <w:r w:rsidR="005109AE">
        <w:t>low (20%</w:t>
      </w:r>
      <w:r w:rsidRPr="004E5326">
        <w:t xml:space="preserve"> targ</w:t>
      </w:r>
      <w:r>
        <w:t xml:space="preserve">et RU) traffic loading scenario and SU-MIMO with proportional fair scheduling is considered. The results are provided for 4 and 8 antenna ports </w:t>
      </w:r>
      <w:r w:rsidRPr="004E5326">
        <w:t>with</w:t>
      </w:r>
      <w:r w:rsidRPr="004E5326">
        <w:rPr>
          <w:rFonts w:hint="eastAsia"/>
        </w:rPr>
        <w:t xml:space="preserve"> </w:t>
      </w:r>
      <w:r w:rsidRPr="004E5326">
        <w:t>(</w:t>
      </w:r>
      <w:r w:rsidRPr="00BE3AF2">
        <w:rPr>
          <w:i/>
        </w:rPr>
        <w:t>N</w:t>
      </w:r>
      <w:r w:rsidRPr="00BE3AF2">
        <w:rPr>
          <w:vertAlign w:val="subscript"/>
        </w:rPr>
        <w:t>1</w:t>
      </w:r>
      <w:r w:rsidRPr="004E5326">
        <w:t>,</w:t>
      </w:r>
      <w:r>
        <w:t xml:space="preserve"> </w:t>
      </w:r>
      <w:r w:rsidRPr="00BE3AF2">
        <w:rPr>
          <w:i/>
        </w:rPr>
        <w:t>N</w:t>
      </w:r>
      <w:r w:rsidRPr="00BE3AF2">
        <w:rPr>
          <w:vertAlign w:val="subscript"/>
        </w:rPr>
        <w:t>2</w:t>
      </w:r>
      <w:r w:rsidRPr="004E5326">
        <w:rPr>
          <w:rFonts w:hint="eastAsia"/>
        </w:rPr>
        <w:t>) = (</w:t>
      </w:r>
      <w:r>
        <w:t>2, 1</w:t>
      </w:r>
      <w:r w:rsidRPr="004E5326">
        <w:t>)</w:t>
      </w:r>
      <w:r>
        <w:t xml:space="preserve"> and (4, 1) at the UE where</w:t>
      </w:r>
      <w:r w:rsidRPr="004E5326">
        <w:t xml:space="preserve"> we assume that the first dimension is horizontal and the second dimension is vertical</w:t>
      </w:r>
      <w:r>
        <w:t xml:space="preserve">. The relevant simulation parameters are enlisted in </w:t>
      </w:r>
      <w:r>
        <w:fldChar w:fldCharType="begin"/>
      </w:r>
      <w:r>
        <w:instrText xml:space="preserve"> REF _Ref458526226 \h </w:instrText>
      </w:r>
      <w:r>
        <w:fldChar w:fldCharType="separate"/>
      </w:r>
      <w:r w:rsidR="00566C74">
        <w:t xml:space="preserve">Table </w:t>
      </w:r>
      <w:r w:rsidR="00566C74">
        <w:rPr>
          <w:noProof/>
        </w:rPr>
        <w:t>1</w:t>
      </w:r>
      <w:r>
        <w:fldChar w:fldCharType="end"/>
      </w:r>
      <w:r>
        <w:t xml:space="preserve">. For 4-Tx, LTE UL 4-Tx codebook </w:t>
      </w:r>
      <w:r w:rsidR="00F93402">
        <w:t>and</w:t>
      </w:r>
      <w:r>
        <w:t xml:space="preserve"> LTE DL </w:t>
      </w:r>
      <w:r w:rsidR="00F93402">
        <w:t>Rel. 12 4-Tx codebook are considered</w:t>
      </w:r>
      <w:r>
        <w:t>. For 8-Tx, LTE R</w:t>
      </w:r>
      <w:r w:rsidR="00F93402">
        <w:t>el. 10 codebook is considered</w:t>
      </w:r>
      <w:r>
        <w:t>.</w:t>
      </w:r>
      <w:r w:rsidR="00F93402">
        <w:t xml:space="preserve"> The performance of frequency-selective pre-coding with different values of the number (</w:t>
      </w:r>
      <w:r w:rsidR="00F93402" w:rsidRPr="00F93402">
        <w:rPr>
          <w:i/>
        </w:rPr>
        <w:t>N</w:t>
      </w:r>
      <w:r w:rsidR="00F93402">
        <w:t xml:space="preserve">) of TPMIs is provided. </w:t>
      </w:r>
      <w:r>
        <w:t xml:space="preserve">The simulation results are shown in </w:t>
      </w:r>
      <w:r>
        <w:fldChar w:fldCharType="begin"/>
      </w:r>
      <w:r>
        <w:instrText xml:space="preserve"> REF _Ref481707478 \h </w:instrText>
      </w:r>
      <w:r>
        <w:fldChar w:fldCharType="separate"/>
      </w:r>
      <w:r w:rsidR="00566C74">
        <w:t xml:space="preserve">Figure </w:t>
      </w:r>
      <w:r w:rsidR="00566C74">
        <w:rPr>
          <w:noProof/>
        </w:rPr>
        <w:t>3</w:t>
      </w:r>
      <w:r>
        <w:fldChar w:fldCharType="end"/>
      </w:r>
      <w:r w:rsidR="00F93402">
        <w:t xml:space="preserve"> and</w:t>
      </w:r>
      <w:r>
        <w:t xml:space="preserve"> </w:t>
      </w:r>
      <w:r>
        <w:fldChar w:fldCharType="begin"/>
      </w:r>
      <w:r>
        <w:instrText xml:space="preserve"> REF _Ref481707479 \h </w:instrText>
      </w:r>
      <w:r>
        <w:fldChar w:fldCharType="separate"/>
      </w:r>
      <w:r w:rsidR="00566C74">
        <w:t xml:space="preserve">Figure </w:t>
      </w:r>
      <w:r w:rsidR="00566C74">
        <w:rPr>
          <w:noProof/>
        </w:rPr>
        <w:t>4</w:t>
      </w:r>
      <w:r>
        <w:fldChar w:fldCharType="end"/>
      </w:r>
      <w:r>
        <w:t xml:space="preserve"> for </w:t>
      </w:r>
      <w:proofErr w:type="gramStart"/>
      <w:r>
        <w:t>4-Tx</w:t>
      </w:r>
      <w:proofErr w:type="gramEnd"/>
      <w:r>
        <w:t xml:space="preserve"> and in </w:t>
      </w:r>
      <w:r>
        <w:fldChar w:fldCharType="begin"/>
      </w:r>
      <w:r>
        <w:instrText xml:space="preserve"> REF _Ref481707481 \h </w:instrText>
      </w:r>
      <w:r>
        <w:fldChar w:fldCharType="separate"/>
      </w:r>
      <w:r w:rsidR="00566C74">
        <w:t xml:space="preserve">Figure </w:t>
      </w:r>
      <w:r w:rsidR="00566C74">
        <w:rPr>
          <w:noProof/>
        </w:rPr>
        <w:t>5</w:t>
      </w:r>
      <w:r>
        <w:fldChar w:fldCharType="end"/>
      </w:r>
      <w:r>
        <w:t xml:space="preserve"> </w:t>
      </w:r>
      <w:r w:rsidR="00F93402">
        <w:t xml:space="preserve">for </w:t>
      </w:r>
      <w:r>
        <w:t>8-Tx.</w:t>
      </w:r>
      <w:r w:rsidR="00F93402">
        <w:t xml:space="preserve"> As reference, LTE-like WB TPMI (</w:t>
      </w:r>
      <w:r w:rsidR="00F93402" w:rsidRPr="00F93402">
        <w:rPr>
          <w:i/>
        </w:rPr>
        <w:t>N</w:t>
      </w:r>
      <w:r w:rsidR="00F93402">
        <w:t xml:space="preserve"> = 1) is considered.</w:t>
      </w:r>
      <w:r>
        <w:t xml:space="preserve"> </w:t>
      </w:r>
    </w:p>
    <w:p w14:paraId="6B1FC009" w14:textId="0542AD87" w:rsidR="00AE7722" w:rsidRDefault="00AE7722" w:rsidP="00067C62">
      <w:pPr>
        <w:spacing w:before="60" w:after="60" w:line="288" w:lineRule="auto"/>
        <w:ind w:firstLine="450"/>
        <w:jc w:val="both"/>
      </w:pPr>
      <w:r>
        <w:t>Also, to compare 4-Tx and 8-Tx in UL, t</w:t>
      </w:r>
      <w:r>
        <w:t xml:space="preserve">he performance </w:t>
      </w:r>
      <w:r>
        <w:t xml:space="preserve">gain of </w:t>
      </w:r>
      <w:proofErr w:type="gramStart"/>
      <w:r>
        <w:t>8-Tx</w:t>
      </w:r>
      <w:proofErr w:type="gramEnd"/>
      <w:r>
        <w:t xml:space="preserve"> over 4-Tx</w:t>
      </w:r>
      <w:r>
        <w:t xml:space="preserve"> is shown </w:t>
      </w:r>
      <w:r>
        <w:fldChar w:fldCharType="begin"/>
      </w:r>
      <w:r>
        <w:instrText xml:space="preserve"> REF _Ref482822628 \h </w:instrText>
      </w:r>
      <w:r>
        <w:fldChar w:fldCharType="separate"/>
      </w:r>
      <w:r>
        <w:t xml:space="preserve">Figure </w:t>
      </w:r>
      <w:r>
        <w:rPr>
          <w:noProof/>
        </w:rPr>
        <w:t>6</w:t>
      </w:r>
      <w:r>
        <w:fldChar w:fldCharType="end"/>
      </w:r>
      <w:r>
        <w:t xml:space="preserve">, where for 4-Tx, </w:t>
      </w:r>
      <w:r w:rsidRPr="00AE7722">
        <w:t>LTE DL Rel. 12 4-Tx codebook</w:t>
      </w:r>
      <w:r>
        <w:t xml:space="preserve"> is considered</w:t>
      </w:r>
      <w:r>
        <w:t xml:space="preserve">. </w:t>
      </w:r>
    </w:p>
    <w:p w14:paraId="33773585" w14:textId="3C170731" w:rsidR="00067C62" w:rsidRDefault="00067C62" w:rsidP="00067C62">
      <w:pPr>
        <w:spacing w:before="60" w:after="60" w:line="288" w:lineRule="auto"/>
        <w:ind w:firstLine="450"/>
        <w:jc w:val="both"/>
      </w:pPr>
      <w:r>
        <w:t>We can make the following observation.</w:t>
      </w:r>
      <w:r w:rsidR="00AE7722">
        <w:t xml:space="preserve"> </w:t>
      </w:r>
    </w:p>
    <w:p w14:paraId="463D598B" w14:textId="77777777" w:rsidR="00067C62" w:rsidRDefault="00067C62" w:rsidP="00067C62">
      <w:pPr>
        <w:spacing w:before="60" w:after="60" w:line="288" w:lineRule="auto"/>
        <w:jc w:val="both"/>
        <w:rPr>
          <w:i/>
          <w:lang w:val="en-US"/>
        </w:rPr>
      </w:pPr>
      <w:r>
        <w:rPr>
          <w:b/>
          <w:u w:val="single"/>
          <w:lang w:val="en-US"/>
        </w:rPr>
        <w:t>Observation</w:t>
      </w:r>
      <w:r w:rsidRPr="00DC5D9C">
        <w:rPr>
          <w:i/>
          <w:lang w:val="en-US"/>
        </w:rPr>
        <w:t xml:space="preserve">: </w:t>
      </w:r>
    </w:p>
    <w:p w14:paraId="0F640FD9" w14:textId="78A0BE21" w:rsidR="00AF35E6" w:rsidRPr="003B4647" w:rsidRDefault="00AF35E6" w:rsidP="00AF35E6">
      <w:pPr>
        <w:pStyle w:val="ListParagraph"/>
        <w:numPr>
          <w:ilvl w:val="0"/>
          <w:numId w:val="30"/>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~6-11% gain in avg. UPT, and ~77-93</w:t>
      </w:r>
      <w:r>
        <w:rPr>
          <w:i/>
          <w:lang w:val="en-US"/>
        </w:rPr>
        <w:t>% gain in 5% UPT</w:t>
      </w:r>
    </w:p>
    <w:p w14:paraId="0CC0BB7F" w14:textId="77777777" w:rsidR="00AF35E6" w:rsidRDefault="00AF35E6" w:rsidP="00AF35E6">
      <w:pPr>
        <w:pStyle w:val="ListParagraph"/>
        <w:numPr>
          <w:ilvl w:val="0"/>
          <w:numId w:val="30"/>
        </w:numPr>
        <w:spacing w:before="60" w:after="60" w:line="288" w:lineRule="auto"/>
        <w:ind w:leftChars="0"/>
        <w:jc w:val="both"/>
        <w:rPr>
          <w:i/>
          <w:lang w:val="en-US"/>
        </w:rPr>
      </w:pPr>
      <w:r>
        <w:rPr>
          <w:i/>
          <w:lang w:val="en-US"/>
        </w:rPr>
        <w:t>N = 2 TPMIs does not show much gain over N = 1 TPMI</w:t>
      </w:r>
    </w:p>
    <w:p w14:paraId="4F0C8046" w14:textId="7A6BFEFB" w:rsidR="00067C62" w:rsidRDefault="00AF35E6" w:rsidP="00AF35E6">
      <w:pPr>
        <w:pStyle w:val="ListParagraph"/>
        <w:numPr>
          <w:ilvl w:val="0"/>
          <w:numId w:val="30"/>
        </w:numPr>
        <w:spacing w:before="60" w:after="60" w:line="288" w:lineRule="auto"/>
        <w:ind w:leftChars="0"/>
        <w:jc w:val="both"/>
        <w:rPr>
          <w:i/>
          <w:lang w:val="en-US"/>
        </w:rPr>
      </w:pPr>
      <w:r>
        <w:rPr>
          <w:i/>
          <w:lang w:val="en-US"/>
        </w:rPr>
        <w:t>N = 5</w:t>
      </w:r>
      <w:r w:rsidR="00F32B4A">
        <w:rPr>
          <w:i/>
          <w:lang w:val="en-US"/>
        </w:rPr>
        <w:t>,10</w:t>
      </w:r>
      <w:r>
        <w:rPr>
          <w:i/>
          <w:lang w:val="en-US"/>
        </w:rPr>
        <w:t xml:space="preserve"> TPMIs achieves good performance-overhead tradeoff</w:t>
      </w:r>
      <w:r w:rsidR="006B5B14">
        <w:rPr>
          <w:i/>
          <w:lang w:val="en-US"/>
        </w:rPr>
        <w:t xml:space="preserve"> </w:t>
      </w:r>
    </w:p>
    <w:p w14:paraId="6B287C20" w14:textId="13A03EE5" w:rsidR="0000377D" w:rsidRPr="003B4647" w:rsidRDefault="0000377D" w:rsidP="00AF35E6">
      <w:pPr>
        <w:pStyle w:val="ListParagraph"/>
        <w:numPr>
          <w:ilvl w:val="0"/>
          <w:numId w:val="30"/>
        </w:numPr>
        <w:spacing w:before="60" w:after="60" w:line="288" w:lineRule="auto"/>
        <w:ind w:leftChars="0"/>
        <w:jc w:val="both"/>
        <w:rPr>
          <w:i/>
          <w:lang w:val="en-US"/>
        </w:rPr>
      </w:pPr>
      <w:r>
        <w:rPr>
          <w:i/>
          <w:lang w:val="en-US"/>
        </w:rPr>
        <w:t xml:space="preserve">The performance gain of </w:t>
      </w:r>
      <w:proofErr w:type="gramStart"/>
      <w:r>
        <w:rPr>
          <w:i/>
          <w:lang w:val="en-US"/>
        </w:rPr>
        <w:t>8-Tx</w:t>
      </w:r>
      <w:proofErr w:type="gramEnd"/>
      <w:r>
        <w:rPr>
          <w:i/>
          <w:lang w:val="en-US"/>
        </w:rPr>
        <w:t xml:space="preserve"> over 4-Tx </w:t>
      </w:r>
      <w:r w:rsidR="00907D56">
        <w:rPr>
          <w:i/>
          <w:lang w:val="en-US"/>
        </w:rPr>
        <w:t xml:space="preserve">in UL </w:t>
      </w:r>
      <w:r>
        <w:rPr>
          <w:i/>
          <w:lang w:val="en-US"/>
        </w:rPr>
        <w:t>is ~10-12% in avg. UPT and ~197-216% in 5% UPT, respectively.</w:t>
      </w:r>
    </w:p>
    <w:p w14:paraId="2DA1E38F" w14:textId="77777777" w:rsidR="00067C62" w:rsidRDefault="00067C62" w:rsidP="00067C62">
      <w:pPr>
        <w:spacing w:before="60" w:after="60" w:line="288" w:lineRule="auto"/>
        <w:ind w:firstLine="450"/>
        <w:jc w:val="both"/>
        <w:rPr>
          <w:lang w:val="en-US"/>
        </w:rPr>
      </w:pPr>
    </w:p>
    <w:p w14:paraId="36A3AE88" w14:textId="77777777" w:rsidR="00067C62" w:rsidRDefault="00067C62" w:rsidP="00067C62">
      <w:pPr>
        <w:keepNext/>
        <w:spacing w:before="60" w:after="60" w:line="288" w:lineRule="auto"/>
        <w:jc w:val="center"/>
      </w:pPr>
      <w:r w:rsidRPr="004E7E7B">
        <w:rPr>
          <w:noProof/>
          <w:lang w:val="en-US"/>
        </w:rPr>
        <w:drawing>
          <wp:inline distT="0" distB="0" distL="0" distR="0" wp14:anchorId="3C9E5D20" wp14:editId="0D480351">
            <wp:extent cx="4352041" cy="2663157"/>
            <wp:effectExtent l="0" t="0" r="1079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06B591E" w14:textId="7110600B" w:rsidR="00067C62" w:rsidRPr="00DC5D9C" w:rsidRDefault="00067C62" w:rsidP="00067C62">
      <w:pPr>
        <w:pStyle w:val="Caption"/>
        <w:jc w:val="center"/>
        <w:rPr>
          <w:lang w:val="en-US"/>
        </w:rPr>
      </w:pPr>
      <w:bookmarkStart w:id="5" w:name="_Ref481707478"/>
      <w:r>
        <w:t xml:space="preserve">Figure </w:t>
      </w:r>
      <w:r>
        <w:fldChar w:fldCharType="begin"/>
      </w:r>
      <w:r>
        <w:instrText xml:space="preserve"> SEQ Figure \* ARABIC </w:instrText>
      </w:r>
      <w:r>
        <w:fldChar w:fldCharType="separate"/>
      </w:r>
      <w:r w:rsidR="00566C74">
        <w:rPr>
          <w:noProof/>
        </w:rPr>
        <w:t>3</w:t>
      </w:r>
      <w:r>
        <w:fldChar w:fldCharType="end"/>
      </w:r>
      <w:bookmarkEnd w:id="5"/>
      <w:r>
        <w:t xml:space="preserve">: </w:t>
      </w:r>
      <w:r w:rsidR="00DC5EF6">
        <w:t>LTE UL 4-Tx codebook</w:t>
      </w:r>
    </w:p>
    <w:p w14:paraId="7146B933" w14:textId="73933896" w:rsidR="00067C62" w:rsidRDefault="00DC5EF6" w:rsidP="00067C62">
      <w:pPr>
        <w:keepNext/>
        <w:spacing w:before="60" w:after="60" w:line="288" w:lineRule="auto"/>
        <w:jc w:val="center"/>
      </w:pPr>
      <w:r w:rsidRPr="004E7E7B">
        <w:rPr>
          <w:noProof/>
          <w:lang w:val="en-US"/>
        </w:rPr>
        <w:lastRenderedPageBreak/>
        <w:drawing>
          <wp:inline distT="0" distB="0" distL="0" distR="0" wp14:anchorId="71EEB6F8" wp14:editId="5A27CE81">
            <wp:extent cx="4352041" cy="2663157"/>
            <wp:effectExtent l="0" t="0" r="10795" b="44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13BC98C" w14:textId="1C41738B" w:rsidR="00067C62" w:rsidRPr="00DC5EF6" w:rsidRDefault="00067C62" w:rsidP="00DC5EF6">
      <w:pPr>
        <w:pStyle w:val="Caption"/>
        <w:jc w:val="center"/>
        <w:rPr>
          <w:lang w:val="en-US"/>
        </w:rPr>
      </w:pPr>
      <w:bookmarkStart w:id="6" w:name="_Ref481707479"/>
      <w:r>
        <w:t xml:space="preserve">Figure </w:t>
      </w:r>
      <w:r>
        <w:fldChar w:fldCharType="begin"/>
      </w:r>
      <w:r>
        <w:instrText xml:space="preserve"> SEQ Figure \* ARABIC </w:instrText>
      </w:r>
      <w:r>
        <w:fldChar w:fldCharType="separate"/>
      </w:r>
      <w:r w:rsidR="00566C74">
        <w:rPr>
          <w:noProof/>
        </w:rPr>
        <w:t>4</w:t>
      </w:r>
      <w:r>
        <w:fldChar w:fldCharType="end"/>
      </w:r>
      <w:bookmarkEnd w:id="6"/>
      <w:r>
        <w:t xml:space="preserve">: </w:t>
      </w:r>
      <w:r w:rsidR="00DC5EF6">
        <w:t>LTE DL Rel. 12 4-Tx codebook</w:t>
      </w:r>
    </w:p>
    <w:p w14:paraId="2DAFC89E" w14:textId="77777777" w:rsidR="00067C62" w:rsidRPr="004E7E7B" w:rsidRDefault="00067C62" w:rsidP="00067C62"/>
    <w:p w14:paraId="4BB0172F" w14:textId="77724373" w:rsidR="00067C62" w:rsidRDefault="00DC5EF6" w:rsidP="00067C62">
      <w:pPr>
        <w:keepNext/>
        <w:spacing w:before="60" w:after="60" w:line="288" w:lineRule="auto"/>
        <w:jc w:val="center"/>
      </w:pPr>
      <w:r w:rsidRPr="004E7E7B">
        <w:rPr>
          <w:noProof/>
          <w:lang w:val="en-US"/>
        </w:rPr>
        <w:drawing>
          <wp:inline distT="0" distB="0" distL="0" distR="0" wp14:anchorId="759299DF" wp14:editId="687E0644">
            <wp:extent cx="4352041" cy="2663157"/>
            <wp:effectExtent l="0" t="0" r="1079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D765259" w14:textId="0816E8D8" w:rsidR="00067C62" w:rsidRDefault="00067C62" w:rsidP="00DC5EF6">
      <w:pPr>
        <w:pStyle w:val="Caption"/>
        <w:jc w:val="center"/>
      </w:pPr>
      <w:bookmarkStart w:id="7" w:name="_Ref481707481"/>
      <w:r>
        <w:t xml:space="preserve">Figure </w:t>
      </w:r>
      <w:r>
        <w:fldChar w:fldCharType="begin"/>
      </w:r>
      <w:r>
        <w:instrText xml:space="preserve"> SEQ Figure \* ARABIC </w:instrText>
      </w:r>
      <w:r>
        <w:fldChar w:fldCharType="separate"/>
      </w:r>
      <w:r w:rsidR="00566C74">
        <w:rPr>
          <w:noProof/>
        </w:rPr>
        <w:t>5</w:t>
      </w:r>
      <w:r>
        <w:fldChar w:fldCharType="end"/>
      </w:r>
      <w:bookmarkEnd w:id="7"/>
      <w:r>
        <w:t xml:space="preserve">: </w:t>
      </w:r>
      <w:r w:rsidR="00DC5EF6">
        <w:t>LTE DL Rel. 10 8-Tx codebook</w:t>
      </w:r>
    </w:p>
    <w:p w14:paraId="76E92721" w14:textId="77777777" w:rsidR="00566C74" w:rsidRDefault="00566C74" w:rsidP="00566C74">
      <w:pPr>
        <w:keepNext/>
        <w:spacing w:before="60" w:after="60" w:line="288" w:lineRule="auto"/>
        <w:jc w:val="center"/>
      </w:pPr>
      <w:r w:rsidRPr="004E7E7B">
        <w:rPr>
          <w:noProof/>
          <w:lang w:val="en-US"/>
        </w:rPr>
        <w:lastRenderedPageBreak/>
        <w:drawing>
          <wp:inline distT="0" distB="0" distL="0" distR="0" wp14:anchorId="2EF5D9DD" wp14:editId="63F00A7F">
            <wp:extent cx="5695950" cy="2662555"/>
            <wp:effectExtent l="0" t="0" r="0" b="44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98F0669" w14:textId="3E3B0BC7" w:rsidR="00566C74" w:rsidRPr="00DC5EF6" w:rsidRDefault="00566C74" w:rsidP="00566C74">
      <w:pPr>
        <w:pStyle w:val="Caption"/>
        <w:jc w:val="center"/>
        <w:rPr>
          <w:lang w:val="en-US"/>
        </w:rPr>
      </w:pPr>
      <w:bookmarkStart w:id="8" w:name="_Ref482822628"/>
      <w:r>
        <w:t xml:space="preserve">Figure </w:t>
      </w:r>
      <w:r>
        <w:fldChar w:fldCharType="begin"/>
      </w:r>
      <w:r>
        <w:instrText xml:space="preserve"> SEQ Figure \* ARABIC </w:instrText>
      </w:r>
      <w:r>
        <w:fldChar w:fldCharType="separate"/>
      </w:r>
      <w:r>
        <w:rPr>
          <w:noProof/>
        </w:rPr>
        <w:t>6</w:t>
      </w:r>
      <w:r>
        <w:fldChar w:fldCharType="end"/>
      </w:r>
      <w:bookmarkEnd w:id="8"/>
      <w:r>
        <w:t xml:space="preserve">: </w:t>
      </w:r>
      <w:r w:rsidR="00AE7722">
        <w:t xml:space="preserve">Performance gain of </w:t>
      </w:r>
      <w:proofErr w:type="gramStart"/>
      <w:r w:rsidR="00AE7722">
        <w:t>8-Tx</w:t>
      </w:r>
      <w:proofErr w:type="gramEnd"/>
      <w:r w:rsidR="00AE7722">
        <w:t xml:space="preserve"> over 4-Tx</w:t>
      </w:r>
      <w:r w:rsidR="00D50210">
        <w:t xml:space="preserve"> in UL</w:t>
      </w:r>
    </w:p>
    <w:p w14:paraId="50484890" w14:textId="340D0298" w:rsidR="00234252" w:rsidRPr="008E3105" w:rsidRDefault="00234252" w:rsidP="00234252">
      <w:pPr>
        <w:pStyle w:val="Heading2"/>
        <w:numPr>
          <w:ilvl w:val="0"/>
          <w:numId w:val="1"/>
        </w:numPr>
        <w:rPr>
          <w:sz w:val="28"/>
          <w:lang w:val="en-US"/>
        </w:rPr>
      </w:pPr>
      <w:r w:rsidRPr="008E3105">
        <w:rPr>
          <w:sz w:val="28"/>
          <w:lang w:val="en-US"/>
        </w:rPr>
        <w:t>Conclusions</w:t>
      </w:r>
    </w:p>
    <w:p w14:paraId="0365A424" w14:textId="2AACCB91" w:rsidR="00A30119" w:rsidRPr="008E3105" w:rsidRDefault="00E468B7" w:rsidP="00BA0488">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7352A5" w:rsidRPr="008E3105">
        <w:rPr>
          <w:lang w:val="en-US" w:eastAsia="ko-KR"/>
        </w:rPr>
        <w:t xml:space="preserve">Our </w:t>
      </w:r>
      <w:r w:rsidR="007352A5" w:rsidRPr="008E3105">
        <w:rPr>
          <w:b/>
          <w:u w:val="single"/>
          <w:lang w:val="en-US" w:eastAsia="ko-KR"/>
        </w:rPr>
        <w:t>proposals</w:t>
      </w:r>
      <w:r w:rsidR="007352A5" w:rsidRPr="008E3105">
        <w:rPr>
          <w:lang w:val="en-US" w:eastAsia="ko-KR"/>
        </w:rPr>
        <w:t xml:space="preserve"> are summarized as follows</w:t>
      </w:r>
      <w:r w:rsidR="00AC76CF" w:rsidRPr="008E3105">
        <w:rPr>
          <w:i/>
          <w:lang w:val="en-US"/>
        </w:rPr>
        <w:t>:</w:t>
      </w:r>
    </w:p>
    <w:p w14:paraId="4673FB90" w14:textId="6B8C22B2" w:rsidR="002854F0" w:rsidRDefault="002854F0" w:rsidP="00C87357">
      <w:pPr>
        <w:pStyle w:val="ListParagraph"/>
        <w:numPr>
          <w:ilvl w:val="0"/>
          <w:numId w:val="30"/>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C87357">
      <w:pPr>
        <w:pStyle w:val="ListParagraph"/>
        <w:numPr>
          <w:ilvl w:val="1"/>
          <w:numId w:val="30"/>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1020F9">
      <w:pPr>
        <w:pStyle w:val="ListParagraph"/>
        <w:numPr>
          <w:ilvl w:val="0"/>
          <w:numId w:val="30"/>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1020F9">
      <w:pPr>
        <w:pStyle w:val="ListParagraph"/>
        <w:numPr>
          <w:ilvl w:val="1"/>
          <w:numId w:val="30"/>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1020F9">
      <w:pPr>
        <w:pStyle w:val="ListParagraph"/>
        <w:numPr>
          <w:ilvl w:val="1"/>
          <w:numId w:val="30"/>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2854F0">
      <w:pPr>
        <w:pStyle w:val="ListParagraph"/>
        <w:numPr>
          <w:ilvl w:val="0"/>
          <w:numId w:val="30"/>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2854F0">
      <w:pPr>
        <w:pStyle w:val="ListParagraph"/>
        <w:numPr>
          <w:ilvl w:val="1"/>
          <w:numId w:val="30"/>
        </w:numPr>
        <w:spacing w:before="60" w:after="60" w:line="288" w:lineRule="auto"/>
        <w:ind w:leftChars="0"/>
        <w:jc w:val="both"/>
        <w:rPr>
          <w:i/>
          <w:lang w:val="en-US"/>
        </w:rPr>
      </w:pPr>
      <w:r w:rsidRPr="002854F0">
        <w:rPr>
          <w:i/>
          <w:lang w:val="en-US"/>
        </w:rPr>
        <w:t xml:space="preserve">The “subband” size for each of the TPMIs is determined based on UL resource allocation  </w:t>
      </w:r>
    </w:p>
    <w:p w14:paraId="1C403261" w14:textId="42DE4DF8" w:rsidR="00E57442" w:rsidRPr="00936D97" w:rsidRDefault="00E57442" w:rsidP="00936D97">
      <w:pPr>
        <w:pStyle w:val="ListParagraph"/>
        <w:numPr>
          <w:ilvl w:val="0"/>
          <w:numId w:val="30"/>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0C48D5B0" w14:textId="77777777" w:rsidR="00D84744" w:rsidRPr="008E3105" w:rsidRDefault="00D84744" w:rsidP="00D84744">
      <w:pPr>
        <w:pStyle w:val="maintext"/>
        <w:numPr>
          <w:ilvl w:val="0"/>
          <w:numId w:val="30"/>
        </w:numPr>
        <w:ind w:firstLineChars="0"/>
        <w:rPr>
          <w:i/>
          <w:lang w:val="en-US"/>
        </w:rPr>
      </w:pPr>
      <w:r w:rsidRPr="008E3105">
        <w:rPr>
          <w:i/>
          <w:lang w:val="en-US"/>
        </w:rPr>
        <w:t xml:space="preserve">CP-OFDM waveform is used </w:t>
      </w:r>
      <w:r>
        <w:rPr>
          <w:i/>
          <w:lang w:val="en-US"/>
        </w:rPr>
        <w:t>with</w:t>
      </w:r>
      <w:r w:rsidRPr="008E3105">
        <w:rPr>
          <w:i/>
          <w:lang w:val="en-US"/>
        </w:rPr>
        <w:t xml:space="preserve"> rank-adapted transmission irrespective of the rank </w:t>
      </w:r>
    </w:p>
    <w:p w14:paraId="613A74DC" w14:textId="77777777" w:rsidR="00D84744" w:rsidRPr="008E3105" w:rsidRDefault="00D84744" w:rsidP="00D84744">
      <w:pPr>
        <w:pStyle w:val="maintext"/>
        <w:numPr>
          <w:ilvl w:val="1"/>
          <w:numId w:val="30"/>
        </w:numPr>
        <w:ind w:firstLineChars="0"/>
        <w:rPr>
          <w:i/>
          <w:lang w:val="en-US"/>
        </w:rPr>
      </w:pPr>
      <w:r w:rsidRPr="008E3105">
        <w:rPr>
          <w:i/>
          <w:lang w:val="en-US"/>
        </w:rPr>
        <w:t>Single-stream SC-FDMA-based transmission can be supported as a fallback transmission scheme, enabled via a compact UL-related DCI.</w:t>
      </w:r>
    </w:p>
    <w:p w14:paraId="4E1FE848" w14:textId="271F7954" w:rsidR="0010733A" w:rsidRDefault="0010733A" w:rsidP="00FA1D2B">
      <w:pPr>
        <w:pStyle w:val="maintext"/>
        <w:numPr>
          <w:ilvl w:val="0"/>
          <w:numId w:val="30"/>
        </w:numPr>
        <w:spacing w:after="120"/>
        <w:ind w:firstLineChars="0"/>
        <w:rPr>
          <w:i/>
        </w:rPr>
      </w:pPr>
      <w:r>
        <w:rPr>
          <w:i/>
        </w:rPr>
        <w:t>For rank-1 transmission, support configurable antenna turn-off in NR UL codebook design</w:t>
      </w:r>
    </w:p>
    <w:p w14:paraId="6282C72D" w14:textId="007FBFC9" w:rsidR="0010733A" w:rsidRPr="0010733A" w:rsidRDefault="0010733A" w:rsidP="00FA1D2B">
      <w:pPr>
        <w:pStyle w:val="maintext"/>
        <w:numPr>
          <w:ilvl w:val="1"/>
          <w:numId w:val="30"/>
        </w:numPr>
        <w:spacing w:after="120"/>
        <w:ind w:firstLineChars="0"/>
        <w:rPr>
          <w:i/>
        </w:rPr>
      </w:pPr>
      <w:r>
        <w:rPr>
          <w:i/>
        </w:rPr>
        <w:t>Only applicable when DFT-S-OFDM waveform is used</w:t>
      </w:r>
    </w:p>
    <w:p w14:paraId="30493662" w14:textId="04F429E7" w:rsidR="006A4CEE" w:rsidRPr="00652179" w:rsidRDefault="006A4CEE" w:rsidP="00FA1D2B">
      <w:pPr>
        <w:pStyle w:val="maintext"/>
        <w:numPr>
          <w:ilvl w:val="0"/>
          <w:numId w:val="30"/>
        </w:numPr>
        <w:spacing w:after="120"/>
        <w:ind w:firstLineChars="0"/>
        <w:rPr>
          <w:i/>
        </w:rPr>
      </w:pPr>
      <w:r w:rsidRPr="00652179">
        <w:rPr>
          <w:i/>
        </w:rPr>
        <w:t xml:space="preserve">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734775">
        <w:rPr>
          <w:i/>
        </w:rPr>
        <w:t xml:space="preserve">the first stage codebook </w:t>
      </w:r>
      <w:r w:rsidRPr="00734775">
        <w:rPr>
          <w:b/>
          <w:i/>
        </w:rPr>
        <w:t>W</w:t>
      </w:r>
      <w:r w:rsidRPr="00734775">
        <w:rPr>
          <w:i/>
          <w:vertAlign w:val="subscript"/>
        </w:rPr>
        <w:t>1</w:t>
      </w:r>
      <w:r w:rsidRPr="00734775">
        <w:rPr>
          <w:i/>
        </w:rPr>
        <w:t xml:space="preserve"> is used to </w:t>
      </w:r>
      <w:r>
        <w:rPr>
          <w:i/>
        </w:rPr>
        <w:t>select a</w:t>
      </w:r>
      <w:r w:rsidRPr="00734775">
        <w:rPr>
          <w:i/>
        </w:rPr>
        <w:t xml:space="preserve"> pre</w:t>
      </w:r>
      <w:r w:rsidR="00BE3854">
        <w:rPr>
          <w:i/>
        </w:rPr>
        <w:t>-</w:t>
      </w:r>
      <w:r w:rsidRPr="00734775">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BE3854">
        <w:rPr>
          <w:i/>
        </w:rPr>
        <w:t>-</w:t>
      </w:r>
      <w:r>
        <w:rPr>
          <w:i/>
        </w:rPr>
        <w:t>coder from the selected pre</w:t>
      </w:r>
      <w:r w:rsidR="00BE3854">
        <w:rPr>
          <w:i/>
        </w:rPr>
        <w:t>-</w:t>
      </w:r>
      <w:r>
        <w:rPr>
          <w:i/>
        </w:rPr>
        <w:t>coder group</w:t>
      </w:r>
      <w:r w:rsidRPr="00652179">
        <w:rPr>
          <w:i/>
        </w:rPr>
        <w:t xml:space="preserve">. </w:t>
      </w:r>
    </w:p>
    <w:p w14:paraId="03B8129D" w14:textId="182AD575" w:rsidR="006A4CEE" w:rsidRDefault="006A4CEE" w:rsidP="00FA1D2B">
      <w:pPr>
        <w:pStyle w:val="maintext"/>
        <w:numPr>
          <w:ilvl w:val="1"/>
          <w:numId w:val="41"/>
        </w:numPr>
        <w:spacing w:after="120"/>
        <w:ind w:firstLineChars="0"/>
        <w:rPr>
          <w:i/>
        </w:rPr>
      </w:pPr>
      <w:r>
        <w:rPr>
          <w:i/>
        </w:rPr>
        <w:t xml:space="preserve">For TS2, </w:t>
      </w:r>
      <w:r w:rsidRPr="00734775">
        <w:rPr>
          <w:b/>
          <w:i/>
        </w:rPr>
        <w:t>W</w:t>
      </w:r>
      <w:r w:rsidRPr="00734775">
        <w:rPr>
          <w:i/>
          <w:vertAlign w:val="subscript"/>
        </w:rPr>
        <w:t>1</w:t>
      </w:r>
      <w:r>
        <w:rPr>
          <w:i/>
        </w:rPr>
        <w:t xml:space="preserve"> codebook is used, and for TS1, both </w:t>
      </w:r>
      <w:r w:rsidRPr="00734775">
        <w:rPr>
          <w:b/>
          <w:i/>
        </w:rPr>
        <w:t>W</w:t>
      </w:r>
      <w:r w:rsidRPr="00734775">
        <w:rPr>
          <w:i/>
          <w:vertAlign w:val="subscript"/>
        </w:rPr>
        <w:t>1</w:t>
      </w:r>
      <w:r>
        <w:rPr>
          <w:i/>
        </w:rPr>
        <w:t xml:space="preserve"> and </w:t>
      </w:r>
      <w:r w:rsidRPr="00734775">
        <w:rPr>
          <w:b/>
          <w:i/>
        </w:rPr>
        <w:t>W</w:t>
      </w:r>
      <w:r w:rsidRPr="00734775">
        <w:rPr>
          <w:i/>
          <w:vertAlign w:val="subscript"/>
        </w:rPr>
        <w:t>2</w:t>
      </w:r>
      <w:r>
        <w:rPr>
          <w:i/>
        </w:rPr>
        <w:t xml:space="preserve"> codebooks are used.</w:t>
      </w:r>
    </w:p>
    <w:p w14:paraId="47AECFAD" w14:textId="75E37D06" w:rsidR="006A4CEE" w:rsidRPr="00A75577" w:rsidRDefault="006A4CEE" w:rsidP="00FA1D2B">
      <w:pPr>
        <w:pStyle w:val="maintext"/>
        <w:numPr>
          <w:ilvl w:val="1"/>
          <w:numId w:val="41"/>
        </w:numPr>
        <w:spacing w:after="120"/>
        <w:ind w:firstLineChars="0"/>
        <w:rPr>
          <w:i/>
        </w:rPr>
      </w:pPr>
      <w:r w:rsidRPr="00A75577">
        <w:rPr>
          <w:i/>
        </w:rPr>
        <w:t>When antenna turn-off is not configured, then pre</w:t>
      </w:r>
      <w:r w:rsidR="00BE3854">
        <w:rPr>
          <w:i/>
        </w:rPr>
        <w:t>-</w:t>
      </w:r>
      <w:r w:rsidRPr="00A75577">
        <w:rPr>
          <w:i/>
        </w:rPr>
        <w:t>coder grouping is based on correlation. Otherwise, it is such that pre</w:t>
      </w:r>
      <w:r w:rsidR="00BE3854">
        <w:rPr>
          <w:i/>
        </w:rPr>
        <w:t>-</w:t>
      </w:r>
      <w:r w:rsidRPr="00A75577">
        <w:rPr>
          <w:i/>
        </w:rPr>
        <w:t>coders hav</w:t>
      </w:r>
      <w:r>
        <w:rPr>
          <w:i/>
        </w:rPr>
        <w:t>ing</w:t>
      </w:r>
      <w:r w:rsidRPr="00A75577">
        <w:rPr>
          <w:i/>
        </w:rPr>
        <w:t xml:space="preserve"> zeros at the same entries form a group.</w:t>
      </w:r>
    </w:p>
    <w:p w14:paraId="1861F3FF" w14:textId="17A24CDE" w:rsidR="006A4CEE" w:rsidRPr="00A75577" w:rsidRDefault="006A4CEE" w:rsidP="00FA1D2B">
      <w:pPr>
        <w:pStyle w:val="maintext"/>
        <w:numPr>
          <w:ilvl w:val="1"/>
          <w:numId w:val="41"/>
        </w:numPr>
        <w:spacing w:after="120"/>
        <w:ind w:firstLineChars="0"/>
        <w:rPr>
          <w:i/>
        </w:rPr>
      </w:pPr>
      <w:r>
        <w:rPr>
          <w:i/>
        </w:rPr>
        <w:t>C</w:t>
      </w:r>
      <w:r w:rsidRPr="00A75577">
        <w:rPr>
          <w:i/>
        </w:rPr>
        <w:t>onsider LTE UL codebook for 2 and 4 ports, and NR</w:t>
      </w:r>
      <w:r w:rsidR="007F6E64">
        <w:rPr>
          <w:i/>
        </w:rPr>
        <w:t xml:space="preserve"> Type I CSI codebook for 2, 4, and 8</w:t>
      </w:r>
      <w:r w:rsidRPr="00A75577">
        <w:rPr>
          <w:i/>
        </w:rPr>
        <w:t xml:space="preserve"> ports, proposed in [</w:t>
      </w:r>
      <w:r w:rsidR="00BE3854">
        <w:rPr>
          <w:i/>
        </w:rPr>
        <w:t>6</w:t>
      </w:r>
      <w:r w:rsidRPr="00A75577">
        <w:rPr>
          <w:i/>
        </w:rPr>
        <w:t>].</w:t>
      </w:r>
    </w:p>
    <w:p w14:paraId="00DA3071" w14:textId="3340353C" w:rsidR="006A4CEE" w:rsidRPr="006B5B14" w:rsidRDefault="006A4CEE" w:rsidP="00FA1D2B">
      <w:pPr>
        <w:pStyle w:val="ListParagraph"/>
        <w:numPr>
          <w:ilvl w:val="0"/>
          <w:numId w:val="41"/>
        </w:numPr>
        <w:spacing w:before="60" w:after="120" w:line="288" w:lineRule="auto"/>
        <w:ind w:leftChars="0"/>
        <w:rPr>
          <w:i/>
          <w:iCs/>
          <w:lang w:eastAsia="ko-KR"/>
        </w:rPr>
      </w:pPr>
      <w:r w:rsidRPr="00FA1D2B">
        <w:rPr>
          <w:i/>
          <w:iCs/>
          <w:lang w:eastAsia="ko-KR"/>
        </w:rPr>
        <w:lastRenderedPageBreak/>
        <w:t>If UL codebook is the same as DL codebook for Type I CSI, then codebook parameters,</w:t>
      </w:r>
      <w:r w:rsidRPr="00FA1D2B">
        <w:rPr>
          <w:b/>
          <w:i/>
          <w:iCs/>
          <w:lang w:eastAsia="ko-KR"/>
        </w:rPr>
        <w:t xml:space="preserve"> </w:t>
      </w:r>
      <w:r w:rsidRPr="00FA1D2B">
        <w:rPr>
          <w:i/>
        </w:rPr>
        <w:t>(N</w:t>
      </w:r>
      <w:r w:rsidRPr="00FA1D2B">
        <w:rPr>
          <w:i/>
          <w:vertAlign w:val="subscript"/>
        </w:rPr>
        <w:t>1</w:t>
      </w:r>
      <w:r w:rsidRPr="00FA1D2B">
        <w:rPr>
          <w:i/>
        </w:rPr>
        <w:t>, N</w:t>
      </w:r>
      <w:r w:rsidRPr="00FA1D2B">
        <w:rPr>
          <w:i/>
          <w:vertAlign w:val="subscript"/>
        </w:rPr>
        <w:t>2</w:t>
      </w:r>
      <w:r w:rsidRPr="00FA1D2B">
        <w:rPr>
          <w:i/>
        </w:rPr>
        <w:t>), (O</w:t>
      </w:r>
      <w:r w:rsidRPr="00FA1D2B">
        <w:rPr>
          <w:i/>
          <w:vertAlign w:val="subscript"/>
        </w:rPr>
        <w:t>1</w:t>
      </w:r>
      <w:r w:rsidRPr="00FA1D2B">
        <w:rPr>
          <w:i/>
        </w:rPr>
        <w:t>, O</w:t>
      </w:r>
      <w:r w:rsidRPr="00FA1D2B">
        <w:rPr>
          <w:i/>
          <w:vertAlign w:val="subscript"/>
        </w:rPr>
        <w:t>2</w:t>
      </w:r>
      <w:r w:rsidRPr="00FA1D2B">
        <w:rPr>
          <w:i/>
        </w:rPr>
        <w:t>), and basis set type (e.g. non-orthogonal) are fixed. The number of pre</w:t>
      </w:r>
      <w:r w:rsidR="00BE3854">
        <w:rPr>
          <w:i/>
        </w:rPr>
        <w:t>-</w:t>
      </w:r>
      <w:r w:rsidRPr="00FA1D2B">
        <w:rPr>
          <w:i/>
        </w:rPr>
        <w:t xml:space="preserve">coders/beams (L value) that form a </w:t>
      </w:r>
      <w:r w:rsidRPr="00FA1D2B">
        <w:rPr>
          <w:b/>
          <w:i/>
        </w:rPr>
        <w:t>W</w:t>
      </w:r>
      <w:r w:rsidRPr="00FA1D2B">
        <w:rPr>
          <w:i/>
          <w:vertAlign w:val="subscript"/>
        </w:rPr>
        <w:t>1</w:t>
      </w:r>
      <w:r w:rsidRPr="00FA1D2B">
        <w:rPr>
          <w:i/>
        </w:rPr>
        <w:t xml:space="preserve"> group, however, is configured to the UE.</w:t>
      </w:r>
    </w:p>
    <w:p w14:paraId="03447D5E" w14:textId="0DB04D2A" w:rsidR="006B5B14" w:rsidRDefault="006B5B14" w:rsidP="006B5B14">
      <w:pPr>
        <w:pStyle w:val="2222"/>
        <w:spacing w:before="60" w:after="60" w:line="288" w:lineRule="auto"/>
        <w:ind w:firstLineChars="0"/>
        <w:rPr>
          <w:i/>
          <w:lang w:val="en-US"/>
        </w:rPr>
      </w:pPr>
      <w:r>
        <w:rPr>
          <w:lang w:val="en-US" w:eastAsia="ko-KR"/>
        </w:rPr>
        <w:t>Based on simulation results, t</w:t>
      </w:r>
      <w:r w:rsidRPr="00DC5D9C">
        <w:rPr>
          <w:lang w:val="en-US" w:eastAsia="ko-KR"/>
        </w:rPr>
        <w:t xml:space="preserve">he following can be </w:t>
      </w:r>
      <w:r w:rsidRPr="00DC5D9C">
        <w:rPr>
          <w:b/>
          <w:u w:val="single"/>
          <w:lang w:val="en-US" w:eastAsia="ko-KR"/>
        </w:rPr>
        <w:t>observed</w:t>
      </w:r>
      <w:r w:rsidRPr="00DC5D9C">
        <w:rPr>
          <w:lang w:val="en-US" w:eastAsia="ko-KR"/>
        </w:rPr>
        <w:t>:</w:t>
      </w:r>
      <w:r w:rsidRPr="00DC5D9C">
        <w:rPr>
          <w:i/>
          <w:lang w:val="en-US"/>
        </w:rPr>
        <w:t xml:space="preserve"> </w:t>
      </w:r>
    </w:p>
    <w:p w14:paraId="758A2F2D" w14:textId="7BBE5D5D" w:rsidR="006B5B14" w:rsidRPr="003B4647" w:rsidRDefault="006B5B14" w:rsidP="006B5B14">
      <w:pPr>
        <w:pStyle w:val="ListParagraph"/>
        <w:numPr>
          <w:ilvl w:val="0"/>
          <w:numId w:val="30"/>
        </w:numPr>
        <w:spacing w:before="60" w:after="60" w:line="288" w:lineRule="auto"/>
        <w:ind w:leftChars="0"/>
        <w:jc w:val="both"/>
        <w:rPr>
          <w:i/>
          <w:lang w:val="en-US"/>
        </w:rPr>
      </w:pPr>
      <w:r>
        <w:rPr>
          <w:i/>
          <w:lang w:val="en-US"/>
        </w:rPr>
        <w:t>The frequency-selective precoding shows significant performance gain over frequency-no</w:t>
      </w:r>
      <w:r w:rsidR="00933241">
        <w:rPr>
          <w:i/>
          <w:lang w:val="en-US"/>
        </w:rPr>
        <w:t>n-selective precoding: ~6-11% gain in avg. UPT, and ~7</w:t>
      </w:r>
      <w:r>
        <w:rPr>
          <w:i/>
          <w:lang w:val="en-US"/>
        </w:rPr>
        <w:t>7-9</w:t>
      </w:r>
      <w:r w:rsidR="00933241">
        <w:rPr>
          <w:i/>
          <w:lang w:val="en-US"/>
        </w:rPr>
        <w:t>3</w:t>
      </w:r>
      <w:r>
        <w:rPr>
          <w:i/>
          <w:lang w:val="en-US"/>
        </w:rPr>
        <w:t>% g</w:t>
      </w:r>
      <w:r w:rsidR="00AF35E6">
        <w:rPr>
          <w:i/>
          <w:lang w:val="en-US"/>
        </w:rPr>
        <w:t>ain in 5% UPT</w:t>
      </w:r>
    </w:p>
    <w:p w14:paraId="5140BBBF" w14:textId="0FF1190A" w:rsidR="006B5B14" w:rsidRDefault="006B5B14" w:rsidP="006B5B14">
      <w:pPr>
        <w:pStyle w:val="ListParagraph"/>
        <w:numPr>
          <w:ilvl w:val="0"/>
          <w:numId w:val="30"/>
        </w:numPr>
        <w:spacing w:before="60" w:after="60" w:line="288" w:lineRule="auto"/>
        <w:ind w:leftChars="0"/>
        <w:jc w:val="both"/>
        <w:rPr>
          <w:i/>
          <w:lang w:val="en-US"/>
        </w:rPr>
      </w:pPr>
      <w:r>
        <w:rPr>
          <w:i/>
          <w:lang w:val="en-US"/>
        </w:rPr>
        <w:t xml:space="preserve">N = 2 TPMIs </w:t>
      </w:r>
      <w:r w:rsidR="00AF35E6">
        <w:rPr>
          <w:i/>
          <w:lang w:val="en-US"/>
        </w:rPr>
        <w:t>does not show</w:t>
      </w:r>
      <w:r>
        <w:rPr>
          <w:i/>
          <w:lang w:val="en-US"/>
        </w:rPr>
        <w:t xml:space="preserve"> much gain over N = 1 TPMI</w:t>
      </w:r>
    </w:p>
    <w:p w14:paraId="3B6F7C9B" w14:textId="79C4BED4" w:rsidR="006B5B14" w:rsidRPr="003B4647" w:rsidRDefault="006B5B14" w:rsidP="006B5B14">
      <w:pPr>
        <w:pStyle w:val="ListParagraph"/>
        <w:numPr>
          <w:ilvl w:val="0"/>
          <w:numId w:val="30"/>
        </w:numPr>
        <w:spacing w:before="60" w:after="60" w:line="288" w:lineRule="auto"/>
        <w:ind w:leftChars="0"/>
        <w:jc w:val="both"/>
        <w:rPr>
          <w:i/>
          <w:lang w:val="en-US"/>
        </w:rPr>
      </w:pPr>
      <w:r>
        <w:rPr>
          <w:i/>
          <w:lang w:val="en-US"/>
        </w:rPr>
        <w:t>N = 5</w:t>
      </w:r>
      <w:r w:rsidR="00DD52DA">
        <w:rPr>
          <w:i/>
          <w:lang w:val="en-US"/>
        </w:rPr>
        <w:t>,10</w:t>
      </w:r>
      <w:r>
        <w:rPr>
          <w:i/>
          <w:lang w:val="en-US"/>
        </w:rPr>
        <w:t xml:space="preserve"> TPMIs achieves good performance-overhead tradeoff </w:t>
      </w:r>
    </w:p>
    <w:p w14:paraId="4152DED2" w14:textId="77777777" w:rsidR="0015642F" w:rsidRPr="003B4647" w:rsidRDefault="0015642F" w:rsidP="0015642F">
      <w:pPr>
        <w:pStyle w:val="ListParagraph"/>
        <w:numPr>
          <w:ilvl w:val="0"/>
          <w:numId w:val="30"/>
        </w:numPr>
        <w:spacing w:before="60" w:after="60" w:line="288" w:lineRule="auto"/>
        <w:ind w:leftChars="0"/>
        <w:jc w:val="both"/>
        <w:rPr>
          <w:i/>
          <w:lang w:val="en-US"/>
        </w:rPr>
      </w:pPr>
      <w:r>
        <w:rPr>
          <w:i/>
          <w:lang w:val="en-US"/>
        </w:rPr>
        <w:t xml:space="preserve">The performance gain of </w:t>
      </w:r>
      <w:proofErr w:type="gramStart"/>
      <w:r>
        <w:rPr>
          <w:i/>
          <w:lang w:val="en-US"/>
        </w:rPr>
        <w:t>8-Tx</w:t>
      </w:r>
      <w:proofErr w:type="gramEnd"/>
      <w:r>
        <w:rPr>
          <w:i/>
          <w:lang w:val="en-US"/>
        </w:rPr>
        <w:t xml:space="preserve"> over 4-Tx in UL is ~10-12% in avg. UPT and ~197-216% in 5% UPT, respectively.</w:t>
      </w: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57157380" w:rsidR="00754C34" w:rsidRPr="00754C34" w:rsidRDefault="003713CF" w:rsidP="00754C34">
      <w:pPr>
        <w:pStyle w:val="ListParagraph"/>
        <w:numPr>
          <w:ilvl w:val="0"/>
          <w:numId w:val="5"/>
        </w:numPr>
        <w:spacing w:before="60" w:after="120" w:line="288" w:lineRule="auto"/>
        <w:ind w:leftChars="0" w:left="360"/>
        <w:jc w:val="both"/>
        <w:rPr>
          <w:rFonts w:eastAsia="MS Mincho"/>
          <w:iCs/>
          <w:lang w:eastAsia="ja-JP"/>
        </w:rPr>
      </w:pPr>
      <w:bookmarkStart w:id="9" w:name="_Ref458614461"/>
      <w:r>
        <w:rPr>
          <w:rFonts w:eastAsia="MS Mincho"/>
          <w:iCs/>
          <w:lang w:eastAsia="ja-JP"/>
        </w:rPr>
        <w:t>RAN1#88bis, Chairman notes</w:t>
      </w:r>
    </w:p>
    <w:p w14:paraId="2AFB0D31"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R1-091465, “</w:t>
      </w:r>
      <w:r w:rsidRPr="00D62FF0">
        <w:rPr>
          <w:rFonts w:cs="Times New Roman"/>
          <w:lang w:eastAsia="ko-KR"/>
        </w:rPr>
        <w:t>Precoding Design for LTE-A Uplink MIMO Operation</w:t>
      </w:r>
      <w:r>
        <w:rPr>
          <w:rFonts w:cs="Times New Roman"/>
          <w:lang w:eastAsia="ko-KR"/>
        </w:rPr>
        <w:t xml:space="preserve">,” Qualcomm. </w:t>
      </w:r>
    </w:p>
    <w:p w14:paraId="7C35D9C7" w14:textId="77777777" w:rsidR="00303947" w:rsidRPr="00D62FF0"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R1-090377, “</w:t>
      </w:r>
      <w:r w:rsidRPr="00D62FF0">
        <w:rPr>
          <w:rFonts w:cs="Times New Roman"/>
          <w:lang w:eastAsia="ko-KR"/>
        </w:rPr>
        <w:t>Uplink SU-MIMO in LTE-Advanced</w:t>
      </w:r>
      <w:r>
        <w:rPr>
          <w:rFonts w:cs="Times New Roman"/>
          <w:lang w:eastAsia="ko-KR"/>
        </w:rPr>
        <w:t xml:space="preserve">,” Ericsson. </w:t>
      </w:r>
    </w:p>
    <w:p w14:paraId="38F0A459"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R1-091301, “</w:t>
      </w:r>
      <w:r w:rsidRPr="00D62FF0">
        <w:rPr>
          <w:rFonts w:cs="Times New Roman"/>
          <w:lang w:eastAsia="ko-KR"/>
        </w:rPr>
        <w:t>Codebook Design for 4Tx Uplink SU-MIMO</w:t>
      </w:r>
      <w:r>
        <w:rPr>
          <w:rFonts w:cs="Times New Roman"/>
          <w:lang w:eastAsia="ko-KR"/>
        </w:rPr>
        <w:t>,” Texas Instruments.</w:t>
      </w:r>
    </w:p>
    <w:p w14:paraId="02DDCA52"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R1-091818, “</w:t>
      </w:r>
      <w:r w:rsidRPr="00D62FF0">
        <w:rPr>
          <w:rFonts w:cs="Times New Roman"/>
          <w:lang w:eastAsia="ko-KR"/>
        </w:rPr>
        <w:t>Cubic Metric Friendly Precoding for UL 4Tx MIMO</w:t>
      </w:r>
      <w:r>
        <w:rPr>
          <w:rFonts w:cs="Times New Roman"/>
          <w:lang w:eastAsia="ko-KR"/>
        </w:rPr>
        <w:t>,” Huawei.</w:t>
      </w:r>
    </w:p>
    <w:p w14:paraId="11A7530E" w14:textId="31F33E0B" w:rsidR="00303947" w:rsidRPr="008C2832"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w:t>
      </w:r>
      <w:r w:rsidRPr="003F00C5">
        <w:rPr>
          <w:rFonts w:cs="Times New Roman"/>
          <w:lang w:eastAsia="ko-KR"/>
        </w:rPr>
        <w:t>-</w:t>
      </w:r>
      <w:r w:rsidR="006446B7" w:rsidRPr="003F00C5">
        <w:rPr>
          <w:rFonts w:cs="Times New Roman"/>
          <w:lang w:eastAsia="ko-KR"/>
        </w:rPr>
        <w:t>1</w:t>
      </w:r>
      <w:r w:rsidR="006446B7">
        <w:rPr>
          <w:rFonts w:cs="Times New Roman"/>
          <w:lang w:eastAsia="ko-KR"/>
        </w:rPr>
        <w:t>70</w:t>
      </w:r>
      <w:r w:rsidR="00F95B60">
        <w:rPr>
          <w:rFonts w:cs="Times New Roman"/>
          <w:lang w:eastAsia="ko-KR"/>
        </w:rPr>
        <w:t>7961</w:t>
      </w:r>
      <w:r w:rsidRPr="003F00C5">
        <w:rPr>
          <w:rFonts w:cs="Times New Roman"/>
          <w:lang w:eastAsia="ko-KR"/>
        </w:rPr>
        <w:t xml:space="preserve">, </w:t>
      </w:r>
      <w:r>
        <w:rPr>
          <w:rFonts w:cs="Times New Roman"/>
          <w:lang w:eastAsia="ko-KR"/>
        </w:rPr>
        <w:t>“Type I CSI reporting</w:t>
      </w:r>
      <w:r>
        <w:rPr>
          <w:rFonts w:eastAsia="Batang" w:cs="Times New Roman"/>
          <w:lang w:eastAsia="zh-CN"/>
        </w:rPr>
        <w:t>,” Samsung.</w:t>
      </w:r>
    </w:p>
    <w:bookmarkEnd w:id="9"/>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77777777" w:rsidR="00D55F94" w:rsidRDefault="00D55F94" w:rsidP="00D55F94">
      <w:pPr>
        <w:pStyle w:val="Caption"/>
        <w:keepNext/>
        <w:jc w:val="center"/>
      </w:pPr>
      <w:bookmarkStart w:id="10" w:name="_Ref427254851"/>
      <w:bookmarkStart w:id="11" w:name="_Ref458526226"/>
      <w:r>
        <w:t xml:space="preserve">Table </w:t>
      </w:r>
      <w:r>
        <w:fldChar w:fldCharType="begin"/>
      </w:r>
      <w:r>
        <w:instrText xml:space="preserve"> SEQ Table \* ARABIC </w:instrText>
      </w:r>
      <w:r>
        <w:fldChar w:fldCharType="separate"/>
      </w:r>
      <w:r w:rsidR="00566C74">
        <w:rPr>
          <w:noProof/>
        </w:rPr>
        <w:t>1</w:t>
      </w:r>
      <w:r>
        <w:fldChar w:fldCharType="end"/>
      </w:r>
      <w:bookmarkEnd w:id="10"/>
      <w:bookmarkEnd w:id="11"/>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D55F94" w:rsidRPr="00FC3135" w14:paraId="1C3CABF6" w14:textId="77777777" w:rsidTr="00567366">
        <w:trPr>
          <w:trHeight w:val="63"/>
        </w:trPr>
        <w:tc>
          <w:tcPr>
            <w:tcW w:w="2076" w:type="pct"/>
            <w:shd w:val="clear" w:color="auto" w:fill="auto"/>
            <w:vAlign w:val="center"/>
            <w:hideMark/>
          </w:tcPr>
          <w:p w14:paraId="47B7F4CD" w14:textId="77777777" w:rsidR="00D55F94" w:rsidRPr="002C1AFE" w:rsidRDefault="00D55F94" w:rsidP="00567366">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73736C2" w14:textId="77777777" w:rsidR="00D55F94" w:rsidRPr="002C1AFE" w:rsidRDefault="00D55F94" w:rsidP="00567366">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D55F94" w:rsidRPr="00FC3135" w14:paraId="4506E239" w14:textId="77777777" w:rsidTr="00567366">
        <w:trPr>
          <w:trHeight w:val="63"/>
        </w:trPr>
        <w:tc>
          <w:tcPr>
            <w:tcW w:w="2076" w:type="pct"/>
            <w:shd w:val="clear" w:color="auto" w:fill="auto"/>
            <w:vAlign w:val="center"/>
            <w:hideMark/>
          </w:tcPr>
          <w:p w14:paraId="5E9DBD07" w14:textId="77777777" w:rsidR="00D55F94" w:rsidRPr="002C1AFE" w:rsidRDefault="00D55F94" w:rsidP="00567366">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469AC61" w14:textId="24C1F705" w:rsidR="00D55F94" w:rsidRPr="002C1AFE" w:rsidRDefault="00D55F94" w:rsidP="00012034">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3</w:t>
            </w:r>
            <w:r w:rsidRPr="002C1AFE">
              <w:rPr>
                <w:rFonts w:eastAsia="Arial"/>
                <w:kern w:val="24"/>
                <w:sz w:val="21"/>
                <w:szCs w:val="32"/>
                <w:lang w:eastAsia="zh-TW"/>
              </w:rPr>
              <w:t>)</w:t>
            </w:r>
            <w:r w:rsidR="00012034">
              <w:rPr>
                <w:rFonts w:eastAsia="Arial"/>
                <w:kern w:val="24"/>
                <w:sz w:val="21"/>
                <w:szCs w:val="32"/>
                <w:lang w:eastAsia="zh-TW"/>
              </w:rPr>
              <w:t>, 100kbytes packet size</w:t>
            </w:r>
          </w:p>
        </w:tc>
      </w:tr>
      <w:tr w:rsidR="00D55F94" w:rsidRPr="00FC3135" w14:paraId="65985F81" w14:textId="77777777" w:rsidTr="00567366">
        <w:trPr>
          <w:trHeight w:val="63"/>
        </w:trPr>
        <w:tc>
          <w:tcPr>
            <w:tcW w:w="2076" w:type="pct"/>
            <w:shd w:val="clear" w:color="auto" w:fill="auto"/>
            <w:vAlign w:val="center"/>
            <w:hideMark/>
          </w:tcPr>
          <w:p w14:paraId="34218E82"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0664D6FD"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xml:space="preserve">, 120 </w:t>
            </w:r>
            <w:proofErr w:type="spellStart"/>
            <w:r>
              <w:rPr>
                <w:rFonts w:eastAsia="Arial"/>
                <w:kern w:val="24"/>
                <w:sz w:val="21"/>
                <w:szCs w:val="32"/>
                <w:lang w:eastAsia="zh-TW"/>
              </w:rPr>
              <w:t>downtilt</w:t>
            </w:r>
            <w:proofErr w:type="spellEnd"/>
          </w:p>
        </w:tc>
      </w:tr>
      <w:tr w:rsidR="00D55F94" w:rsidRPr="00FC3135" w14:paraId="058A97B1" w14:textId="77777777" w:rsidTr="00567366">
        <w:trPr>
          <w:trHeight w:val="63"/>
        </w:trPr>
        <w:tc>
          <w:tcPr>
            <w:tcW w:w="2076" w:type="pct"/>
            <w:shd w:val="clear" w:color="auto" w:fill="auto"/>
            <w:vAlign w:val="center"/>
            <w:hideMark/>
          </w:tcPr>
          <w:p w14:paraId="2194CF87"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64EA2497" w14:textId="433ADBAF" w:rsidR="00D55F94" w:rsidRPr="002C1AFE" w:rsidRDefault="005109AE" w:rsidP="00954DFD">
            <w:pPr>
              <w:spacing w:after="0"/>
              <w:jc w:val="center"/>
              <w:rPr>
                <w:rFonts w:eastAsia="Times New Roman"/>
                <w:sz w:val="21"/>
                <w:szCs w:val="36"/>
                <w:lang w:eastAsia="zh-TW"/>
              </w:rPr>
            </w:pPr>
            <w:r>
              <w:rPr>
                <w:rFonts w:eastAsia="Arial"/>
                <w:kern w:val="24"/>
                <w:sz w:val="21"/>
                <w:szCs w:val="32"/>
                <w:lang w:eastAsia="zh-TW"/>
              </w:rPr>
              <w:t>(2,</w:t>
            </w:r>
            <w:r w:rsidR="000B59F8">
              <w:rPr>
                <w:rFonts w:eastAsia="Arial"/>
                <w:kern w:val="24"/>
                <w:sz w:val="21"/>
                <w:szCs w:val="32"/>
                <w:lang w:eastAsia="zh-TW"/>
              </w:rPr>
              <w:t>2</w:t>
            </w:r>
            <w:r w:rsidR="00D55F94" w:rsidRPr="002C1AFE">
              <w:rPr>
                <w:rFonts w:eastAsia="Arial"/>
                <w:kern w:val="24"/>
                <w:sz w:val="21"/>
                <w:szCs w:val="32"/>
                <w:lang w:eastAsia="zh-TW"/>
              </w:rPr>
              <w:t>), x-polarized, subarray partition</w:t>
            </w:r>
            <w:r w:rsidR="00D55F94">
              <w:rPr>
                <w:rFonts w:eastAsia="Arial"/>
                <w:kern w:val="24"/>
                <w:sz w:val="21"/>
                <w:szCs w:val="32"/>
                <w:lang w:eastAsia="zh-TW"/>
              </w:rPr>
              <w:t xml:space="preserve">, </w:t>
            </w:r>
            <w:r w:rsidR="00954DFD">
              <w:rPr>
                <w:rFonts w:eastAsia="Arial"/>
                <w:kern w:val="24"/>
                <w:sz w:val="21"/>
                <w:szCs w:val="32"/>
                <w:lang w:eastAsia="zh-TW"/>
              </w:rPr>
              <w:t>2</w:t>
            </w:r>
            <w:r w:rsidR="00D55F94">
              <w:rPr>
                <w:rFonts w:eastAsia="Arial"/>
                <w:kern w:val="24"/>
                <w:sz w:val="21"/>
                <w:szCs w:val="32"/>
                <w:lang w:eastAsia="zh-TW"/>
              </w:rPr>
              <w:t>x1 virtualization</w:t>
            </w:r>
          </w:p>
        </w:tc>
      </w:tr>
      <w:tr w:rsidR="00D55F94" w:rsidRPr="00FC3135" w14:paraId="31D8AD69" w14:textId="77777777" w:rsidTr="00567366">
        <w:trPr>
          <w:trHeight w:val="63"/>
        </w:trPr>
        <w:tc>
          <w:tcPr>
            <w:tcW w:w="2076" w:type="pct"/>
            <w:shd w:val="clear" w:color="auto" w:fill="auto"/>
            <w:vAlign w:val="center"/>
            <w:hideMark/>
          </w:tcPr>
          <w:p w14:paraId="30EA04D1" w14:textId="77777777" w:rsidR="00D55F94" w:rsidRPr="002C1AFE" w:rsidRDefault="00D55F94" w:rsidP="00567366">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Pr>
                <w:rFonts w:eastAsia="Arial"/>
                <w:bCs/>
                <w:kern w:val="24"/>
                <w:sz w:val="21"/>
                <w:szCs w:val="32"/>
                <w:lang w:eastAsia="zh-TW"/>
              </w:rPr>
              <w:t xml:space="preserv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1CC7A384" w14:textId="579CA846" w:rsidR="00D55F94" w:rsidRPr="002C1AFE" w:rsidRDefault="005109AE" w:rsidP="005109AE">
            <w:pPr>
              <w:spacing w:after="0"/>
              <w:jc w:val="center"/>
              <w:rPr>
                <w:rFonts w:eastAsia="Times New Roman"/>
                <w:sz w:val="21"/>
                <w:szCs w:val="36"/>
                <w:lang w:eastAsia="zh-TW"/>
              </w:rPr>
            </w:pPr>
            <w:r>
              <w:rPr>
                <w:rFonts w:eastAsia="Arial"/>
                <w:kern w:val="24"/>
                <w:sz w:val="21"/>
                <w:szCs w:val="32"/>
                <w:lang w:eastAsia="zh-TW"/>
              </w:rPr>
              <w:t>2</w:t>
            </w:r>
            <w:r w:rsidR="00D55F94" w:rsidRPr="0069181E">
              <w:rPr>
                <w:rFonts w:eastAsia="Arial"/>
                <w:kern w:val="24"/>
                <w:sz w:val="21"/>
                <w:szCs w:val="32"/>
                <w:lang w:eastAsia="zh-TW"/>
              </w:rPr>
              <w:t xml:space="preserve"> </w:t>
            </w:r>
            <w:r>
              <w:rPr>
                <w:rFonts w:eastAsia="Arial"/>
                <w:kern w:val="24"/>
                <w:sz w:val="21"/>
                <w:szCs w:val="32"/>
                <w:lang w:eastAsia="zh-TW"/>
              </w:rPr>
              <w:t>ports: (2,1,1</w:t>
            </w:r>
            <w:r w:rsidR="00D55F94">
              <w:rPr>
                <w:rFonts w:eastAsia="Arial"/>
                <w:kern w:val="24"/>
                <w:sz w:val="21"/>
                <w:szCs w:val="32"/>
                <w:lang w:eastAsia="zh-TW"/>
              </w:rPr>
              <w:t>)</w:t>
            </w:r>
          </w:p>
        </w:tc>
      </w:tr>
      <w:tr w:rsidR="00D55F94" w:rsidRPr="00FC3135" w14:paraId="767FAA29" w14:textId="77777777" w:rsidTr="00567366">
        <w:trPr>
          <w:trHeight w:val="63"/>
        </w:trPr>
        <w:tc>
          <w:tcPr>
            <w:tcW w:w="2076" w:type="pct"/>
            <w:shd w:val="clear" w:color="auto" w:fill="auto"/>
            <w:vAlign w:val="center"/>
            <w:hideMark/>
          </w:tcPr>
          <w:p w14:paraId="6081604C" w14:textId="77777777" w:rsidR="00D55F94" w:rsidRPr="002C1AFE" w:rsidRDefault="00D55F94" w:rsidP="00567366">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sidRPr="002C1AFE">
              <w:rPr>
                <w:rFonts w:eastAsia="Arial"/>
                <w:bCs/>
                <w:kern w:val="24"/>
                <w:sz w:val="21"/>
                <w:szCs w:val="32"/>
                <w:lang w:eastAsia="zh-TW"/>
              </w:rPr>
              <w:t xml:space="preserve"> (H,V) antenna spacing</w:t>
            </w:r>
          </w:p>
        </w:tc>
        <w:tc>
          <w:tcPr>
            <w:tcW w:w="2924" w:type="pct"/>
            <w:shd w:val="clear" w:color="auto" w:fill="auto"/>
            <w:vAlign w:val="center"/>
            <w:hideMark/>
          </w:tcPr>
          <w:p w14:paraId="5E582491"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(0.5, 0.8)λ</w:t>
            </w:r>
          </w:p>
        </w:tc>
      </w:tr>
      <w:tr w:rsidR="00D55F94" w:rsidRPr="00FC3135" w14:paraId="3FAD8AA4" w14:textId="77777777" w:rsidTr="00567366">
        <w:trPr>
          <w:trHeight w:val="63"/>
        </w:trPr>
        <w:tc>
          <w:tcPr>
            <w:tcW w:w="2076" w:type="pct"/>
            <w:shd w:val="clear" w:color="auto" w:fill="auto"/>
            <w:vAlign w:val="center"/>
            <w:hideMark/>
          </w:tcPr>
          <w:p w14:paraId="1AAFDEC8"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68026A1B"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446300" w:rsidRPr="00FC3135" w14:paraId="0EC09B41" w14:textId="77777777" w:rsidTr="00567366">
        <w:trPr>
          <w:trHeight w:val="63"/>
        </w:trPr>
        <w:tc>
          <w:tcPr>
            <w:tcW w:w="2076" w:type="pct"/>
            <w:shd w:val="clear" w:color="auto" w:fill="auto"/>
            <w:vAlign w:val="center"/>
          </w:tcPr>
          <w:p w14:paraId="57F6AFC6" w14:textId="0E10B899" w:rsidR="00446300" w:rsidRDefault="00446300" w:rsidP="00567366">
            <w:pPr>
              <w:spacing w:after="0"/>
              <w:jc w:val="center"/>
              <w:rPr>
                <w:rFonts w:eastAsia="Arial"/>
                <w:bCs/>
                <w:kern w:val="24"/>
                <w:sz w:val="21"/>
                <w:szCs w:val="32"/>
                <w:lang w:eastAsia="zh-TW"/>
              </w:rPr>
            </w:pPr>
            <w:r>
              <w:rPr>
                <w:rFonts w:eastAsia="Arial"/>
                <w:bCs/>
                <w:kern w:val="24"/>
                <w:sz w:val="21"/>
                <w:szCs w:val="32"/>
                <w:lang w:eastAsia="zh-TW"/>
              </w:rPr>
              <w:t xml:space="preserve">UE </w:t>
            </w:r>
            <w:proofErr w:type="spellStart"/>
            <w:r>
              <w:rPr>
                <w:rFonts w:eastAsia="Arial"/>
                <w:bCs/>
                <w:kern w:val="24"/>
                <w:sz w:val="21"/>
                <w:szCs w:val="32"/>
                <w:lang w:eastAsia="zh-TW"/>
              </w:rPr>
              <w:t>Tx</w:t>
            </w:r>
            <w:proofErr w:type="spellEnd"/>
            <w:r>
              <w:rPr>
                <w:rFonts w:eastAsia="Arial"/>
                <w:bCs/>
                <w:kern w:val="24"/>
                <w:sz w:val="21"/>
                <w:szCs w:val="32"/>
                <w:lang w:eastAsia="zh-TW"/>
              </w:rPr>
              <w:t xml:space="preserve"> power</w:t>
            </w:r>
          </w:p>
        </w:tc>
        <w:tc>
          <w:tcPr>
            <w:tcW w:w="2924" w:type="pct"/>
            <w:shd w:val="clear" w:color="auto" w:fill="auto"/>
            <w:vAlign w:val="center"/>
          </w:tcPr>
          <w:p w14:paraId="2DC236E4" w14:textId="328690F6" w:rsidR="00446300" w:rsidRDefault="00446300" w:rsidP="00567366">
            <w:pPr>
              <w:spacing w:after="0"/>
              <w:jc w:val="center"/>
              <w:rPr>
                <w:rFonts w:eastAsia="Arial"/>
                <w:kern w:val="24"/>
                <w:sz w:val="21"/>
                <w:szCs w:val="32"/>
                <w:lang w:eastAsia="zh-TW"/>
              </w:rPr>
            </w:pPr>
            <w:r>
              <w:rPr>
                <w:rFonts w:eastAsia="Arial"/>
                <w:kern w:val="24"/>
                <w:sz w:val="21"/>
                <w:szCs w:val="32"/>
                <w:lang w:eastAsia="zh-TW"/>
              </w:rPr>
              <w:t xml:space="preserve">23 </w:t>
            </w:r>
            <w:proofErr w:type="spellStart"/>
            <w:r>
              <w:rPr>
                <w:rFonts w:eastAsia="Arial"/>
                <w:kern w:val="24"/>
                <w:sz w:val="21"/>
                <w:szCs w:val="32"/>
                <w:lang w:eastAsia="zh-TW"/>
              </w:rPr>
              <w:t>dBm</w:t>
            </w:r>
            <w:proofErr w:type="spellEnd"/>
          </w:p>
        </w:tc>
      </w:tr>
      <w:tr w:rsidR="00D55F94" w:rsidRPr="00FC3135" w14:paraId="47924089" w14:textId="77777777" w:rsidTr="00567366">
        <w:trPr>
          <w:trHeight w:val="63"/>
        </w:trPr>
        <w:tc>
          <w:tcPr>
            <w:tcW w:w="2076" w:type="pct"/>
            <w:shd w:val="clear" w:color="auto" w:fill="auto"/>
            <w:vAlign w:val="center"/>
            <w:hideMark/>
          </w:tcPr>
          <w:p w14:paraId="7FAC8094"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17CDA727"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4, 8 ports: (2,1,2), (4,1,2)</w:t>
            </w:r>
          </w:p>
        </w:tc>
      </w:tr>
      <w:tr w:rsidR="00D55F94" w:rsidRPr="00FC3135" w14:paraId="70118F96" w14:textId="77777777" w:rsidTr="00567366">
        <w:trPr>
          <w:trHeight w:val="63"/>
        </w:trPr>
        <w:tc>
          <w:tcPr>
            <w:tcW w:w="2076" w:type="pct"/>
            <w:shd w:val="clear" w:color="auto" w:fill="auto"/>
            <w:vAlign w:val="center"/>
          </w:tcPr>
          <w:p w14:paraId="50C2988B" w14:textId="77777777" w:rsidR="00D55F94" w:rsidRDefault="00D55F94" w:rsidP="00567366">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2924" w:type="pct"/>
            <w:shd w:val="clear" w:color="auto" w:fill="auto"/>
            <w:vAlign w:val="center"/>
          </w:tcPr>
          <w:p w14:paraId="5462DEFE" w14:textId="77777777" w:rsidR="00D55F94" w:rsidRDefault="00D55F94" w:rsidP="00567366">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D55F94" w:rsidRPr="00FC3135" w14:paraId="4BEF62B1" w14:textId="77777777" w:rsidTr="00567366">
        <w:trPr>
          <w:trHeight w:val="63"/>
        </w:trPr>
        <w:tc>
          <w:tcPr>
            <w:tcW w:w="2076" w:type="pct"/>
            <w:shd w:val="clear" w:color="auto" w:fill="auto"/>
            <w:vAlign w:val="center"/>
            <w:hideMark/>
          </w:tcPr>
          <w:p w14:paraId="6CBE5B1C"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2924" w:type="pct"/>
            <w:shd w:val="clear" w:color="auto" w:fill="auto"/>
            <w:vAlign w:val="center"/>
            <w:hideMark/>
          </w:tcPr>
          <w:p w14:paraId="5DBA377B"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Conjugate beamforming</w:t>
            </w:r>
          </w:p>
        </w:tc>
      </w:tr>
      <w:tr w:rsidR="00D55F94" w:rsidRPr="00FC3135" w14:paraId="0A0E9192" w14:textId="77777777" w:rsidTr="00567366">
        <w:trPr>
          <w:trHeight w:val="63"/>
        </w:trPr>
        <w:tc>
          <w:tcPr>
            <w:tcW w:w="2076" w:type="pct"/>
            <w:shd w:val="clear" w:color="auto" w:fill="auto"/>
            <w:vAlign w:val="center"/>
            <w:hideMark/>
          </w:tcPr>
          <w:p w14:paraId="39AA078D"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AF0919A" w14:textId="77777777" w:rsidR="00D55F94" w:rsidRPr="002C1AFE" w:rsidRDefault="00D55F94" w:rsidP="00567366">
            <w:pPr>
              <w:spacing w:after="0"/>
              <w:contextualSpacing/>
              <w:jc w:val="center"/>
              <w:rPr>
                <w:rFonts w:eastAsia="Times New Roman"/>
                <w:sz w:val="21"/>
                <w:szCs w:val="36"/>
                <w:lang w:eastAsia="zh-TW"/>
              </w:rPr>
            </w:pPr>
            <w:r>
              <w:rPr>
                <w:rFonts w:eastAsia="Arial"/>
                <w:kern w:val="24"/>
                <w:sz w:val="21"/>
                <w:szCs w:val="32"/>
                <w:lang w:eastAsia="zh-TW"/>
              </w:rPr>
              <w:t>SU, Proportional fair</w:t>
            </w:r>
          </w:p>
        </w:tc>
      </w:tr>
      <w:tr w:rsidR="00D55F94" w:rsidRPr="00FC3135" w14:paraId="5B63C0BC" w14:textId="77777777" w:rsidTr="00567366">
        <w:trPr>
          <w:trHeight w:val="63"/>
        </w:trPr>
        <w:tc>
          <w:tcPr>
            <w:tcW w:w="2076" w:type="pct"/>
            <w:shd w:val="clear" w:color="auto" w:fill="auto"/>
            <w:vAlign w:val="center"/>
            <w:hideMark/>
          </w:tcPr>
          <w:p w14:paraId="6BF35299"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70B49923"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Non-ideal</w:t>
            </w:r>
          </w:p>
        </w:tc>
      </w:tr>
      <w:tr w:rsidR="00D55F94" w:rsidRPr="00FC3135" w14:paraId="6D572D2C" w14:textId="77777777" w:rsidTr="00567366">
        <w:trPr>
          <w:trHeight w:val="63"/>
        </w:trPr>
        <w:tc>
          <w:tcPr>
            <w:tcW w:w="2076" w:type="pct"/>
            <w:shd w:val="clear" w:color="auto" w:fill="auto"/>
            <w:vAlign w:val="center"/>
            <w:hideMark/>
          </w:tcPr>
          <w:p w14:paraId="1CE5D13A"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37986B3F"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D55F94" w:rsidRPr="00FC3135" w14:paraId="457EC58F" w14:textId="77777777" w:rsidTr="00567366">
        <w:trPr>
          <w:trHeight w:val="63"/>
        </w:trPr>
        <w:tc>
          <w:tcPr>
            <w:tcW w:w="2076" w:type="pct"/>
            <w:shd w:val="clear" w:color="auto" w:fill="auto"/>
            <w:vAlign w:val="center"/>
            <w:hideMark/>
          </w:tcPr>
          <w:p w14:paraId="446CD04B"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2924" w:type="pct"/>
            <w:shd w:val="clear" w:color="auto" w:fill="auto"/>
            <w:vAlign w:val="center"/>
            <w:hideMark/>
          </w:tcPr>
          <w:p w14:paraId="1D7FA8E3"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MMSE-IRC</w:t>
            </w:r>
          </w:p>
        </w:tc>
      </w:tr>
      <w:tr w:rsidR="00D55F94" w:rsidRPr="00FC3135" w14:paraId="256C3D1A" w14:textId="77777777" w:rsidTr="00567366">
        <w:trPr>
          <w:trHeight w:val="63"/>
        </w:trPr>
        <w:tc>
          <w:tcPr>
            <w:tcW w:w="2076" w:type="pct"/>
            <w:shd w:val="clear" w:color="auto" w:fill="auto"/>
            <w:vAlign w:val="center"/>
          </w:tcPr>
          <w:p w14:paraId="2B6DE886" w14:textId="77777777" w:rsidR="00D55F94" w:rsidRPr="002C1AFE" w:rsidRDefault="00D55F94" w:rsidP="00567366">
            <w:pPr>
              <w:spacing w:after="0"/>
              <w:jc w:val="center"/>
              <w:rPr>
                <w:rFonts w:eastAsia="Arial"/>
                <w:bCs/>
                <w:kern w:val="24"/>
                <w:sz w:val="21"/>
                <w:szCs w:val="32"/>
                <w:lang w:eastAsia="zh-TW"/>
              </w:rPr>
            </w:pPr>
            <w:r>
              <w:rPr>
                <w:rFonts w:eastAsia="Arial"/>
                <w:bCs/>
                <w:kern w:val="24"/>
                <w:sz w:val="21"/>
                <w:szCs w:val="32"/>
                <w:lang w:eastAsia="zh-TW"/>
              </w:rPr>
              <w:t>Codebook</w:t>
            </w:r>
          </w:p>
        </w:tc>
        <w:tc>
          <w:tcPr>
            <w:tcW w:w="2924" w:type="pct"/>
            <w:shd w:val="clear" w:color="auto" w:fill="auto"/>
            <w:vAlign w:val="center"/>
          </w:tcPr>
          <w:p w14:paraId="327E33E6" w14:textId="77777777" w:rsidR="00D55F94" w:rsidRDefault="00D55F94" w:rsidP="00567366">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LTE UL codebook, LTE DL Rel. 12 codebook</w:t>
            </w:r>
          </w:p>
          <w:p w14:paraId="5BC81220" w14:textId="5478D1E2" w:rsidR="00D55F94" w:rsidRPr="002C1AFE" w:rsidRDefault="00D55F94" w:rsidP="004D1A62">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xml:space="preserve">: LTE DL Rel. 10 codebook </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782294B9" w14:textId="77777777" w:rsidR="002B3B3B" w:rsidRPr="008E3105" w:rsidRDefault="002B3B3B" w:rsidP="00FA1D2B">
      <w:pPr>
        <w:pStyle w:val="2222"/>
        <w:spacing w:after="120" w:line="288" w:lineRule="auto"/>
        <w:ind w:firstLineChars="0" w:firstLine="0"/>
        <w:rPr>
          <w:rFonts w:cs="Times New Roman"/>
          <w:lang w:val="en-US" w:eastAsia="ko-KR"/>
        </w:rPr>
      </w:pPr>
    </w:p>
    <w:sectPr w:rsidR="002B3B3B" w:rsidRPr="008E3105"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DD26F" w14:textId="77777777" w:rsidR="005E505C" w:rsidRDefault="005E505C">
      <w:r>
        <w:separator/>
      </w:r>
    </w:p>
  </w:endnote>
  <w:endnote w:type="continuationSeparator" w:id="0">
    <w:p w14:paraId="3E4A4E4B" w14:textId="77777777" w:rsidR="005E505C" w:rsidRDefault="005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53AB3" w14:textId="77777777" w:rsidR="005E505C" w:rsidRDefault="005E505C">
      <w:r>
        <w:separator/>
      </w:r>
    </w:p>
  </w:footnote>
  <w:footnote w:type="continuationSeparator" w:id="0">
    <w:p w14:paraId="1961FD2C" w14:textId="77777777" w:rsidR="005E505C" w:rsidRDefault="005E5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528BE"/>
    <w:multiLevelType w:val="hybridMultilevel"/>
    <w:tmpl w:val="B0A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0"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1"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7" w15:restartNumberingAfterBreak="0">
    <w:nsid w:val="5469139A"/>
    <w:multiLevelType w:val="hybridMultilevel"/>
    <w:tmpl w:val="22987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1" w15:restartNumberingAfterBreak="0">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3"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13A03"/>
    <w:multiLevelType w:val="hybridMultilevel"/>
    <w:tmpl w:val="87566C2A"/>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9"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0"/>
  </w:num>
  <w:num w:numId="2">
    <w:abstractNumId w:val="15"/>
  </w:num>
  <w:num w:numId="3">
    <w:abstractNumId w:val="29"/>
  </w:num>
  <w:num w:numId="4">
    <w:abstractNumId w:val="42"/>
  </w:num>
  <w:num w:numId="5">
    <w:abstractNumId w:val="4"/>
  </w:num>
  <w:num w:numId="6">
    <w:abstractNumId w:val="35"/>
  </w:num>
  <w:num w:numId="7">
    <w:abstractNumId w:val="18"/>
  </w:num>
  <w:num w:numId="8">
    <w:abstractNumId w:val="40"/>
  </w:num>
  <w:num w:numId="9">
    <w:abstractNumId w:val="26"/>
  </w:num>
  <w:num w:numId="10">
    <w:abstractNumId w:val="14"/>
  </w:num>
  <w:num w:numId="11">
    <w:abstractNumId w:val="33"/>
  </w:num>
  <w:num w:numId="12">
    <w:abstractNumId w:val="0"/>
  </w:num>
  <w:num w:numId="13">
    <w:abstractNumId w:val="11"/>
  </w:num>
  <w:num w:numId="14">
    <w:abstractNumId w:val="7"/>
  </w:num>
  <w:num w:numId="15">
    <w:abstractNumId w:val="12"/>
  </w:num>
  <w:num w:numId="16">
    <w:abstractNumId w:val="19"/>
  </w:num>
  <w:num w:numId="17">
    <w:abstractNumId w:val="24"/>
  </w:num>
  <w:num w:numId="18">
    <w:abstractNumId w:val="13"/>
  </w:num>
  <w:num w:numId="19">
    <w:abstractNumId w:val="9"/>
  </w:num>
  <w:num w:numId="20">
    <w:abstractNumId w:val="5"/>
  </w:num>
  <w:num w:numId="21">
    <w:abstractNumId w:val="20"/>
  </w:num>
  <w:num w:numId="22">
    <w:abstractNumId w:val="17"/>
  </w:num>
  <w:num w:numId="23">
    <w:abstractNumId w:val="21"/>
  </w:num>
  <w:num w:numId="24">
    <w:abstractNumId w:val="30"/>
  </w:num>
  <w:num w:numId="25">
    <w:abstractNumId w:val="31"/>
  </w:num>
  <w:num w:numId="26">
    <w:abstractNumId w:val="2"/>
  </w:num>
  <w:num w:numId="27">
    <w:abstractNumId w:val="39"/>
  </w:num>
  <w:num w:numId="28">
    <w:abstractNumId w:val="41"/>
  </w:num>
  <w:num w:numId="29">
    <w:abstractNumId w:val="1"/>
  </w:num>
  <w:num w:numId="30">
    <w:abstractNumId w:val="27"/>
  </w:num>
  <w:num w:numId="31">
    <w:abstractNumId w:val="28"/>
  </w:num>
  <w:num w:numId="32">
    <w:abstractNumId w:val="16"/>
  </w:num>
  <w:num w:numId="33">
    <w:abstractNumId w:val="22"/>
  </w:num>
  <w:num w:numId="34">
    <w:abstractNumId w:val="6"/>
  </w:num>
  <w:num w:numId="35">
    <w:abstractNumId w:val="32"/>
  </w:num>
  <w:num w:numId="36">
    <w:abstractNumId w:val="36"/>
  </w:num>
  <w:num w:numId="37">
    <w:abstractNumId w:val="37"/>
  </w:num>
  <w:num w:numId="38">
    <w:abstractNumId w:val="38"/>
  </w:num>
  <w:num w:numId="3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8"/>
  </w:num>
  <w:num w:numId="42">
    <w:abstractNumId w:val="34"/>
  </w:num>
  <w:num w:numId="43">
    <w:abstractNumId w:val="3"/>
  </w:num>
  <w:num w:numId="44">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07"/>
    <w:rsid w:val="000020C0"/>
    <w:rsid w:val="00002618"/>
    <w:rsid w:val="00002A92"/>
    <w:rsid w:val="00002ACA"/>
    <w:rsid w:val="000033A8"/>
    <w:rsid w:val="00003595"/>
    <w:rsid w:val="0000377D"/>
    <w:rsid w:val="00004076"/>
    <w:rsid w:val="00005774"/>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01D8"/>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25B1"/>
    <w:rsid w:val="000B2B68"/>
    <w:rsid w:val="000B4FD7"/>
    <w:rsid w:val="000B59F8"/>
    <w:rsid w:val="000C074E"/>
    <w:rsid w:val="000C0F14"/>
    <w:rsid w:val="000C14C1"/>
    <w:rsid w:val="000C2DAC"/>
    <w:rsid w:val="000C3A4B"/>
    <w:rsid w:val="000C650F"/>
    <w:rsid w:val="000C7989"/>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E7E"/>
    <w:rsid w:val="0012710F"/>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5642F"/>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E01A3"/>
    <w:rsid w:val="001E083E"/>
    <w:rsid w:val="001E0AE2"/>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4F0"/>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6F2"/>
    <w:rsid w:val="002D2EF7"/>
    <w:rsid w:val="002D488B"/>
    <w:rsid w:val="002D53AF"/>
    <w:rsid w:val="002D5B2B"/>
    <w:rsid w:val="002D5F5C"/>
    <w:rsid w:val="002D6FEE"/>
    <w:rsid w:val="002E11B9"/>
    <w:rsid w:val="002E15BC"/>
    <w:rsid w:val="002E21AC"/>
    <w:rsid w:val="002E2BE8"/>
    <w:rsid w:val="002E2CB4"/>
    <w:rsid w:val="002E315D"/>
    <w:rsid w:val="002E333E"/>
    <w:rsid w:val="002E5EC2"/>
    <w:rsid w:val="002E60AB"/>
    <w:rsid w:val="002F00C5"/>
    <w:rsid w:val="002F28D8"/>
    <w:rsid w:val="002F47AD"/>
    <w:rsid w:val="002F5790"/>
    <w:rsid w:val="002F6FEC"/>
    <w:rsid w:val="003006CA"/>
    <w:rsid w:val="0030336D"/>
    <w:rsid w:val="00303947"/>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FE3"/>
    <w:rsid w:val="003763E6"/>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B7F"/>
    <w:rsid w:val="003D3E2E"/>
    <w:rsid w:val="003D44EF"/>
    <w:rsid w:val="003D79CD"/>
    <w:rsid w:val="003E079D"/>
    <w:rsid w:val="003E0FEE"/>
    <w:rsid w:val="003E1753"/>
    <w:rsid w:val="003E2779"/>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831"/>
    <w:rsid w:val="00445AAE"/>
    <w:rsid w:val="00446300"/>
    <w:rsid w:val="004465B5"/>
    <w:rsid w:val="004471CE"/>
    <w:rsid w:val="004474DC"/>
    <w:rsid w:val="00450479"/>
    <w:rsid w:val="00450C48"/>
    <w:rsid w:val="00452E54"/>
    <w:rsid w:val="004530DE"/>
    <w:rsid w:val="0045322C"/>
    <w:rsid w:val="004540F0"/>
    <w:rsid w:val="00454D22"/>
    <w:rsid w:val="00455E7A"/>
    <w:rsid w:val="00461C28"/>
    <w:rsid w:val="004624A3"/>
    <w:rsid w:val="00463AFB"/>
    <w:rsid w:val="00465F1F"/>
    <w:rsid w:val="0046666D"/>
    <w:rsid w:val="00467A29"/>
    <w:rsid w:val="0047010E"/>
    <w:rsid w:val="00470D36"/>
    <w:rsid w:val="0047128F"/>
    <w:rsid w:val="00473944"/>
    <w:rsid w:val="00474000"/>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2DA4"/>
    <w:rsid w:val="004B37FF"/>
    <w:rsid w:val="004B38E1"/>
    <w:rsid w:val="004B3FBF"/>
    <w:rsid w:val="004B461B"/>
    <w:rsid w:val="004B4C96"/>
    <w:rsid w:val="004B652A"/>
    <w:rsid w:val="004B6B60"/>
    <w:rsid w:val="004C1AC1"/>
    <w:rsid w:val="004C2115"/>
    <w:rsid w:val="004C4315"/>
    <w:rsid w:val="004C48A5"/>
    <w:rsid w:val="004C558B"/>
    <w:rsid w:val="004C5D06"/>
    <w:rsid w:val="004C657C"/>
    <w:rsid w:val="004C6B92"/>
    <w:rsid w:val="004D026D"/>
    <w:rsid w:val="004D108A"/>
    <w:rsid w:val="004D159C"/>
    <w:rsid w:val="004D1A62"/>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0BA7"/>
    <w:rsid w:val="004F120F"/>
    <w:rsid w:val="004F17BB"/>
    <w:rsid w:val="00501690"/>
    <w:rsid w:val="00501E42"/>
    <w:rsid w:val="00503993"/>
    <w:rsid w:val="00503D31"/>
    <w:rsid w:val="00503F9D"/>
    <w:rsid w:val="00507091"/>
    <w:rsid w:val="005074C4"/>
    <w:rsid w:val="005079CC"/>
    <w:rsid w:val="005109A0"/>
    <w:rsid w:val="005109AE"/>
    <w:rsid w:val="00514405"/>
    <w:rsid w:val="00514BFF"/>
    <w:rsid w:val="00514ED9"/>
    <w:rsid w:val="00515B5F"/>
    <w:rsid w:val="00515DAE"/>
    <w:rsid w:val="0051746B"/>
    <w:rsid w:val="00520036"/>
    <w:rsid w:val="0052348B"/>
    <w:rsid w:val="00526A64"/>
    <w:rsid w:val="00526BC4"/>
    <w:rsid w:val="00526D20"/>
    <w:rsid w:val="00526FD1"/>
    <w:rsid w:val="00527339"/>
    <w:rsid w:val="00527FA8"/>
    <w:rsid w:val="0053211B"/>
    <w:rsid w:val="00533D37"/>
    <w:rsid w:val="00534DF6"/>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5F2F"/>
    <w:rsid w:val="00557AD6"/>
    <w:rsid w:val="00566C74"/>
    <w:rsid w:val="00567B39"/>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D7BDC"/>
    <w:rsid w:val="005E2034"/>
    <w:rsid w:val="005E505C"/>
    <w:rsid w:val="005E52D7"/>
    <w:rsid w:val="005E5807"/>
    <w:rsid w:val="005E58B6"/>
    <w:rsid w:val="005F1FBE"/>
    <w:rsid w:val="005F39B2"/>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97EAC"/>
    <w:rsid w:val="006A0925"/>
    <w:rsid w:val="006A0BF0"/>
    <w:rsid w:val="006A25EB"/>
    <w:rsid w:val="006A2856"/>
    <w:rsid w:val="006A2D38"/>
    <w:rsid w:val="006A3055"/>
    <w:rsid w:val="006A4CEE"/>
    <w:rsid w:val="006A6FAD"/>
    <w:rsid w:val="006B16F0"/>
    <w:rsid w:val="006B1826"/>
    <w:rsid w:val="006B1A8D"/>
    <w:rsid w:val="006B347E"/>
    <w:rsid w:val="006B4275"/>
    <w:rsid w:val="006B43E1"/>
    <w:rsid w:val="006B5A69"/>
    <w:rsid w:val="006B5B14"/>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5E2C"/>
    <w:rsid w:val="006E6697"/>
    <w:rsid w:val="006E6A76"/>
    <w:rsid w:val="006F199F"/>
    <w:rsid w:val="006F204A"/>
    <w:rsid w:val="006F4BD2"/>
    <w:rsid w:val="006F4D44"/>
    <w:rsid w:val="006F4D8E"/>
    <w:rsid w:val="006F6EF9"/>
    <w:rsid w:val="006F7234"/>
    <w:rsid w:val="006F79E1"/>
    <w:rsid w:val="006F7BCF"/>
    <w:rsid w:val="0070274F"/>
    <w:rsid w:val="00705B9C"/>
    <w:rsid w:val="0070601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EEB"/>
    <w:rsid w:val="007352A5"/>
    <w:rsid w:val="007352D7"/>
    <w:rsid w:val="00735463"/>
    <w:rsid w:val="00737F4D"/>
    <w:rsid w:val="00741B03"/>
    <w:rsid w:val="00741B82"/>
    <w:rsid w:val="00744BB3"/>
    <w:rsid w:val="00745524"/>
    <w:rsid w:val="00746D48"/>
    <w:rsid w:val="007509A2"/>
    <w:rsid w:val="00750E72"/>
    <w:rsid w:val="00753A41"/>
    <w:rsid w:val="00754C34"/>
    <w:rsid w:val="00755AD7"/>
    <w:rsid w:val="00756864"/>
    <w:rsid w:val="00760CE8"/>
    <w:rsid w:val="00761697"/>
    <w:rsid w:val="007625EC"/>
    <w:rsid w:val="00763730"/>
    <w:rsid w:val="007658A6"/>
    <w:rsid w:val="00766BA8"/>
    <w:rsid w:val="00771F90"/>
    <w:rsid w:val="0077429E"/>
    <w:rsid w:val="00775769"/>
    <w:rsid w:val="00775996"/>
    <w:rsid w:val="0077688F"/>
    <w:rsid w:val="00776D43"/>
    <w:rsid w:val="00776FB7"/>
    <w:rsid w:val="00777922"/>
    <w:rsid w:val="007801A5"/>
    <w:rsid w:val="0078020B"/>
    <w:rsid w:val="00780248"/>
    <w:rsid w:val="0078028C"/>
    <w:rsid w:val="00781967"/>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6C38"/>
    <w:rsid w:val="007C7CD0"/>
    <w:rsid w:val="007D10A2"/>
    <w:rsid w:val="007D3572"/>
    <w:rsid w:val="007D3B92"/>
    <w:rsid w:val="007D7A62"/>
    <w:rsid w:val="007E1D9C"/>
    <w:rsid w:val="007E42C7"/>
    <w:rsid w:val="007E57D0"/>
    <w:rsid w:val="007E63F4"/>
    <w:rsid w:val="007E7BC8"/>
    <w:rsid w:val="007E7FB0"/>
    <w:rsid w:val="007F3AB3"/>
    <w:rsid w:val="007F400E"/>
    <w:rsid w:val="007F6E64"/>
    <w:rsid w:val="007F75CB"/>
    <w:rsid w:val="007F76E5"/>
    <w:rsid w:val="00801BC8"/>
    <w:rsid w:val="00802A3E"/>
    <w:rsid w:val="00802B57"/>
    <w:rsid w:val="0080308A"/>
    <w:rsid w:val="00804239"/>
    <w:rsid w:val="0080482F"/>
    <w:rsid w:val="0080490F"/>
    <w:rsid w:val="00804EB4"/>
    <w:rsid w:val="0080578A"/>
    <w:rsid w:val="00806712"/>
    <w:rsid w:val="00806F56"/>
    <w:rsid w:val="0080740C"/>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E0543"/>
    <w:rsid w:val="008E1091"/>
    <w:rsid w:val="008E158C"/>
    <w:rsid w:val="008E1CBB"/>
    <w:rsid w:val="008E1EB9"/>
    <w:rsid w:val="008E23CE"/>
    <w:rsid w:val="008E3105"/>
    <w:rsid w:val="008E436D"/>
    <w:rsid w:val="008E644F"/>
    <w:rsid w:val="008E686B"/>
    <w:rsid w:val="008F2B67"/>
    <w:rsid w:val="008F301F"/>
    <w:rsid w:val="008F3F16"/>
    <w:rsid w:val="008F55A4"/>
    <w:rsid w:val="008F6B64"/>
    <w:rsid w:val="00901A1C"/>
    <w:rsid w:val="00902F8A"/>
    <w:rsid w:val="009038A9"/>
    <w:rsid w:val="00904908"/>
    <w:rsid w:val="009078A9"/>
    <w:rsid w:val="00907CE5"/>
    <w:rsid w:val="00907D56"/>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241"/>
    <w:rsid w:val="009337C2"/>
    <w:rsid w:val="00933BB5"/>
    <w:rsid w:val="00936B00"/>
    <w:rsid w:val="00936D97"/>
    <w:rsid w:val="0093725F"/>
    <w:rsid w:val="00937E33"/>
    <w:rsid w:val="00941062"/>
    <w:rsid w:val="009427BF"/>
    <w:rsid w:val="009446EA"/>
    <w:rsid w:val="00947445"/>
    <w:rsid w:val="009502CE"/>
    <w:rsid w:val="0095220B"/>
    <w:rsid w:val="00952316"/>
    <w:rsid w:val="00952B7C"/>
    <w:rsid w:val="009532C0"/>
    <w:rsid w:val="00954215"/>
    <w:rsid w:val="00954A84"/>
    <w:rsid w:val="00954DFD"/>
    <w:rsid w:val="009564A8"/>
    <w:rsid w:val="0096038E"/>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4121"/>
    <w:rsid w:val="009A546A"/>
    <w:rsid w:val="009B02B7"/>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9F5DDE"/>
    <w:rsid w:val="00A02D0F"/>
    <w:rsid w:val="00A0774C"/>
    <w:rsid w:val="00A109F3"/>
    <w:rsid w:val="00A11BF8"/>
    <w:rsid w:val="00A12A90"/>
    <w:rsid w:val="00A14A77"/>
    <w:rsid w:val="00A16523"/>
    <w:rsid w:val="00A17773"/>
    <w:rsid w:val="00A207CA"/>
    <w:rsid w:val="00A2115E"/>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722"/>
    <w:rsid w:val="00AE7D0F"/>
    <w:rsid w:val="00AF05EB"/>
    <w:rsid w:val="00AF0E2B"/>
    <w:rsid w:val="00AF1310"/>
    <w:rsid w:val="00AF1F04"/>
    <w:rsid w:val="00AF337A"/>
    <w:rsid w:val="00AF35E6"/>
    <w:rsid w:val="00AF3E30"/>
    <w:rsid w:val="00AF5631"/>
    <w:rsid w:val="00AF744F"/>
    <w:rsid w:val="00AF75BE"/>
    <w:rsid w:val="00AF78AE"/>
    <w:rsid w:val="00B009C4"/>
    <w:rsid w:val="00B00C96"/>
    <w:rsid w:val="00B01DB5"/>
    <w:rsid w:val="00B024C5"/>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54"/>
    <w:rsid w:val="00BE389E"/>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4D97"/>
    <w:rsid w:val="00C471C4"/>
    <w:rsid w:val="00C50936"/>
    <w:rsid w:val="00C511E0"/>
    <w:rsid w:val="00C516E6"/>
    <w:rsid w:val="00C52045"/>
    <w:rsid w:val="00C53A87"/>
    <w:rsid w:val="00C543CC"/>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5D0"/>
    <w:rsid w:val="00D07B94"/>
    <w:rsid w:val="00D07EC2"/>
    <w:rsid w:val="00D10778"/>
    <w:rsid w:val="00D10FA1"/>
    <w:rsid w:val="00D11A6D"/>
    <w:rsid w:val="00D147F5"/>
    <w:rsid w:val="00D14C5D"/>
    <w:rsid w:val="00D15127"/>
    <w:rsid w:val="00D154BD"/>
    <w:rsid w:val="00D15929"/>
    <w:rsid w:val="00D15A2A"/>
    <w:rsid w:val="00D16868"/>
    <w:rsid w:val="00D174C1"/>
    <w:rsid w:val="00D17DCE"/>
    <w:rsid w:val="00D21563"/>
    <w:rsid w:val="00D22CEF"/>
    <w:rsid w:val="00D2719E"/>
    <w:rsid w:val="00D2759E"/>
    <w:rsid w:val="00D27B3D"/>
    <w:rsid w:val="00D3051E"/>
    <w:rsid w:val="00D309E1"/>
    <w:rsid w:val="00D32097"/>
    <w:rsid w:val="00D33009"/>
    <w:rsid w:val="00D33ACD"/>
    <w:rsid w:val="00D348E4"/>
    <w:rsid w:val="00D40DAB"/>
    <w:rsid w:val="00D4171F"/>
    <w:rsid w:val="00D50210"/>
    <w:rsid w:val="00D51146"/>
    <w:rsid w:val="00D5147E"/>
    <w:rsid w:val="00D51890"/>
    <w:rsid w:val="00D51B09"/>
    <w:rsid w:val="00D53155"/>
    <w:rsid w:val="00D53BD8"/>
    <w:rsid w:val="00D54DB1"/>
    <w:rsid w:val="00D5568B"/>
    <w:rsid w:val="00D55C99"/>
    <w:rsid w:val="00D55F94"/>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577A"/>
    <w:rsid w:val="00DD6237"/>
    <w:rsid w:val="00DE135B"/>
    <w:rsid w:val="00DE13AB"/>
    <w:rsid w:val="00DE1C7E"/>
    <w:rsid w:val="00DE31AD"/>
    <w:rsid w:val="00DE714A"/>
    <w:rsid w:val="00DE7E3C"/>
    <w:rsid w:val="00DF27CE"/>
    <w:rsid w:val="00DF2CB8"/>
    <w:rsid w:val="00DF3A66"/>
    <w:rsid w:val="00DF3E32"/>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559"/>
    <w:rsid w:val="00E41835"/>
    <w:rsid w:val="00E42776"/>
    <w:rsid w:val="00E4454D"/>
    <w:rsid w:val="00E44EF3"/>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37F1"/>
    <w:rsid w:val="00FA49ED"/>
    <w:rsid w:val="00FA4D4C"/>
    <w:rsid w:val="00FA5D92"/>
    <w:rsid w:val="00FA73F2"/>
    <w:rsid w:val="00FA7C6D"/>
    <w:rsid w:val="00FB03EA"/>
    <w:rsid w:val="00FB1962"/>
    <w:rsid w:val="00FB2D76"/>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B0B3CA4-D0F1-4484-A31A-F20BD2B0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A2115E"/>
    <w:rPr>
      <w:rFonts w:eastAsia="Malgun Gothic"/>
      <w:b/>
      <w:bCs/>
      <w:lang w:val="en-GB" w:eastAsia="en-US"/>
    </w:rPr>
  </w:style>
  <w:style w:type="character" w:styleId="Hyperlink">
    <w:name w:val="Hyperlink"/>
    <w:uiPriority w:val="99"/>
    <w:rsid w:val="00FB2D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1.0125433125433125</c:v>
                </c:pt>
                <c:pt idx="1">
                  <c:v>1.0301003344481605</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5</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1.0579695079695079</c:v>
                </c:pt>
                <c:pt idx="1">
                  <c:v>1.4180602006688963</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10</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1.0944213444213444</c:v>
                </c:pt>
                <c:pt idx="1">
                  <c:v>1.8779264214046822</c:v>
                </c:pt>
              </c:numCache>
            </c:numRef>
          </c:val>
        </c:ser>
        <c:ser>
          <c:idx val="4"/>
          <c:order val="4"/>
          <c:tx>
            <c:strRef>
              <c:f>Sheet1!$F$1</c:f>
              <c:strCache>
                <c:ptCount val="1"/>
                <c:pt idx="0">
                  <c:v>N = 25</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1.1095634095634095</c:v>
                </c:pt>
                <c:pt idx="1">
                  <c:v>1.9197324414715717</c:v>
                </c:pt>
              </c:numCache>
            </c:numRef>
          </c:val>
        </c:ser>
        <c:dLbls>
          <c:dLblPos val="outEnd"/>
          <c:showLegendKey val="0"/>
          <c:showVal val="1"/>
          <c:showCatName val="0"/>
          <c:showSerName val="0"/>
          <c:showPercent val="0"/>
          <c:showBubbleSize val="0"/>
        </c:dLbls>
        <c:gapWidth val="444"/>
        <c:overlap val="-90"/>
        <c:axId val="566180968"/>
        <c:axId val="566181360"/>
      </c:barChart>
      <c:catAx>
        <c:axId val="5661809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566181360"/>
        <c:crosses val="autoZero"/>
        <c:auto val="1"/>
        <c:lblAlgn val="ctr"/>
        <c:lblOffset val="100"/>
        <c:noMultiLvlLbl val="0"/>
      </c:catAx>
      <c:valAx>
        <c:axId val="566181360"/>
        <c:scaling>
          <c:orientation val="minMax"/>
          <c:max val="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566180968"/>
        <c:crosses val="autoZero"/>
        <c:crossBetween val="between"/>
      </c:valAx>
      <c:spPr>
        <a:noFill/>
        <a:ln>
          <a:noFill/>
        </a:ln>
        <a:effectLst/>
      </c:spPr>
    </c:plotArea>
    <c:legend>
      <c:legendPos val="t"/>
      <c:layout>
        <c:manualLayout>
          <c:xMode val="edge"/>
          <c:yMode val="edge"/>
          <c:x val="5.1910917760204185E-2"/>
          <c:y val="5.6670259105077177E-2"/>
          <c:w val="0.90242126271499012"/>
          <c:h val="9.142346355286556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dLbl>
              <c:idx val="1"/>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1.0020993701889434</c:v>
                </c:pt>
                <c:pt idx="1">
                  <c:v>1.0265957446808511</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5</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1.036536407498803</c:v>
                </c:pt>
                <c:pt idx="1">
                  <c:v>1.345744680851064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10</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1.056130529262274</c:v>
                </c:pt>
                <c:pt idx="1">
                  <c:v>1.5833333333333335</c:v>
                </c:pt>
              </c:numCache>
            </c:numRef>
          </c:val>
        </c:ser>
        <c:ser>
          <c:idx val="4"/>
          <c:order val="4"/>
          <c:tx>
            <c:strRef>
              <c:f>Sheet1!$F$1</c:f>
              <c:strCache>
                <c:ptCount val="1"/>
                <c:pt idx="0">
                  <c:v>N = 25</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1.0618761739899083</c:v>
                </c:pt>
                <c:pt idx="1">
                  <c:v>1.7677304964539009</c:v>
                </c:pt>
              </c:numCache>
            </c:numRef>
          </c:val>
        </c:ser>
        <c:dLbls>
          <c:dLblPos val="outEnd"/>
          <c:showLegendKey val="0"/>
          <c:showVal val="1"/>
          <c:showCatName val="0"/>
          <c:showSerName val="0"/>
          <c:showPercent val="0"/>
          <c:showBubbleSize val="0"/>
        </c:dLbls>
        <c:gapWidth val="444"/>
        <c:overlap val="-90"/>
        <c:axId val="566182144"/>
        <c:axId val="566182536"/>
      </c:barChart>
      <c:catAx>
        <c:axId val="5661821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566182536"/>
        <c:crosses val="autoZero"/>
        <c:auto val="1"/>
        <c:lblAlgn val="ctr"/>
        <c:lblOffset val="100"/>
        <c:noMultiLvlLbl val="0"/>
      </c:catAx>
      <c:valAx>
        <c:axId val="566182536"/>
        <c:scaling>
          <c:orientation val="minMax"/>
          <c:max val="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566182144"/>
        <c:crosses val="autoZero"/>
        <c:crossBetween val="between"/>
      </c:valAx>
      <c:spPr>
        <a:noFill/>
        <a:ln>
          <a:noFill/>
        </a:ln>
        <a:effectLst/>
      </c:spPr>
    </c:plotArea>
    <c:legend>
      <c:legendPos val="t"/>
      <c:layout>
        <c:manualLayout>
          <c:xMode val="edge"/>
          <c:yMode val="edge"/>
          <c:x val="5.1910917760204185E-2"/>
          <c:y val="5.6670259105077177E-2"/>
          <c:w val="0.90242126271499012"/>
          <c:h val="9.142346355286556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dLbl>
              <c:idx val="1"/>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1.0032314439278531</c:v>
                </c:pt>
                <c:pt idx="1">
                  <c:v>1.0566546762589928</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5</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1.0345896395950802</c:v>
                </c:pt>
                <c:pt idx="1">
                  <c:v>1.435251798561151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10</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1.0446137105549509</c:v>
                </c:pt>
                <c:pt idx="1">
                  <c:v>1.7338129496402876</c:v>
                </c:pt>
              </c:numCache>
            </c:numRef>
          </c:val>
        </c:ser>
        <c:ser>
          <c:idx val="4"/>
          <c:order val="4"/>
          <c:tx>
            <c:strRef>
              <c:f>Sheet1!$F$1</c:f>
              <c:strCache>
                <c:ptCount val="1"/>
                <c:pt idx="0">
                  <c:v>N = 25</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1.0554951033732316</c:v>
                </c:pt>
                <c:pt idx="1">
                  <c:v>1.9334532374100717</c:v>
                </c:pt>
              </c:numCache>
            </c:numRef>
          </c:val>
        </c:ser>
        <c:dLbls>
          <c:dLblPos val="outEnd"/>
          <c:showLegendKey val="0"/>
          <c:showVal val="1"/>
          <c:showCatName val="0"/>
          <c:showSerName val="0"/>
          <c:showPercent val="0"/>
          <c:showBubbleSize val="0"/>
        </c:dLbls>
        <c:gapWidth val="444"/>
        <c:overlap val="-90"/>
        <c:axId val="568152496"/>
        <c:axId val="568152888"/>
      </c:barChart>
      <c:catAx>
        <c:axId val="5681524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568152888"/>
        <c:crosses val="autoZero"/>
        <c:auto val="1"/>
        <c:lblAlgn val="ctr"/>
        <c:lblOffset val="100"/>
        <c:noMultiLvlLbl val="0"/>
      </c:catAx>
      <c:valAx>
        <c:axId val="568152888"/>
        <c:scaling>
          <c:orientation val="minMax"/>
          <c:max val="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568152496"/>
        <c:crosses val="autoZero"/>
        <c:crossBetween val="between"/>
      </c:valAx>
      <c:spPr>
        <a:noFill/>
        <a:ln>
          <a:noFill/>
        </a:ln>
        <a:effectLst/>
      </c:spPr>
    </c:plotArea>
    <c:legend>
      <c:legendPos val="t"/>
      <c:layout>
        <c:manualLayout>
          <c:xMode val="edge"/>
          <c:yMode val="edge"/>
          <c:x val="5.1910917760204185E-2"/>
          <c:y val="5.6670259105077177E-2"/>
          <c:w val="0.90242126271499012"/>
          <c:h val="9.142346355286556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 4-Tx</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dLbl>
              <c:idx val="1"/>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1, 8-Tx</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1.1169754336856839</c:v>
                </c:pt>
                <c:pt idx="1">
                  <c:v>1.9716312056737593</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2, 4-Tx</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2, 8-Tx</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1.1182372831520142</c:v>
                </c:pt>
                <c:pt idx="1">
                  <c:v>2.0293609671848016</c:v>
                </c:pt>
              </c:numCache>
            </c:numRef>
          </c:val>
        </c:ser>
        <c:ser>
          <c:idx val="4"/>
          <c:order val="4"/>
          <c:tx>
            <c:strRef>
              <c:f>Sheet1!$F$1</c:f>
              <c:strCache>
                <c:ptCount val="1"/>
                <c:pt idx="0">
                  <c:v>N = 5, 4-Tx</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c:v>
                </c:pt>
                <c:pt idx="1">
                  <c:v>1</c:v>
                </c:pt>
              </c:numCache>
            </c:numRef>
          </c:val>
        </c:ser>
        <c:ser>
          <c:idx val="5"/>
          <c:order val="5"/>
          <c:tx>
            <c:strRef>
              <c:f>Sheet1!$G$1</c:f>
              <c:strCache>
                <c:ptCount val="1"/>
                <c:pt idx="0">
                  <c:v>N = 5, 8-Tx</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1.1148775894538607</c:v>
                </c:pt>
                <c:pt idx="1">
                  <c:v>2.1027667984189726</c:v>
                </c:pt>
              </c:numCache>
            </c:numRef>
          </c:val>
        </c:ser>
        <c:ser>
          <c:idx val="6"/>
          <c:order val="6"/>
          <c:tx>
            <c:strRef>
              <c:f>Sheet1!$H$1</c:f>
              <c:strCache>
                <c:ptCount val="1"/>
                <c:pt idx="0">
                  <c:v>N = 10, 4-Tx</c:v>
                </c:pt>
              </c:strCache>
            </c:strRef>
          </c:tx>
          <c:spPr>
            <a:solidFill>
              <a:schemeClr val="accent1">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c:v>
                </c:pt>
                <c:pt idx="1">
                  <c:v>1</c:v>
                </c:pt>
              </c:numCache>
            </c:numRef>
          </c:val>
        </c:ser>
        <c:ser>
          <c:idx val="7"/>
          <c:order val="7"/>
          <c:tx>
            <c:strRef>
              <c:f>Sheet1!$I$1</c:f>
              <c:strCache>
                <c:ptCount val="1"/>
                <c:pt idx="0">
                  <c:v>N = 10, 8-Tx</c:v>
                </c:pt>
              </c:strCache>
            </c:strRef>
          </c:tx>
          <c:spPr>
            <a:solidFill>
              <a:schemeClr val="accent2">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1.1047951176983435</c:v>
                </c:pt>
                <c:pt idx="1">
                  <c:v>2.1590145576707727</c:v>
                </c:pt>
              </c:numCache>
            </c:numRef>
          </c:val>
        </c:ser>
        <c:ser>
          <c:idx val="8"/>
          <c:order val="8"/>
          <c:tx>
            <c:strRef>
              <c:f>Sheet1!$J$1</c:f>
              <c:strCache>
                <c:ptCount val="1"/>
                <c:pt idx="0">
                  <c:v>N = 25, 4-Tx</c:v>
                </c:pt>
              </c:strCache>
            </c:strRef>
          </c:tx>
          <c:spPr>
            <a:solidFill>
              <a:schemeClr val="accent3">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Sheet1!$J$2:$J$3</c:f>
              <c:numCache>
                <c:formatCode>General</c:formatCode>
                <c:ptCount val="2"/>
                <c:pt idx="0">
                  <c:v>1</c:v>
                </c:pt>
                <c:pt idx="1">
                  <c:v>1</c:v>
                </c:pt>
              </c:numCache>
            </c:numRef>
          </c:val>
        </c:ser>
        <c:ser>
          <c:idx val="9"/>
          <c:order val="9"/>
          <c:tx>
            <c:strRef>
              <c:f>Sheet1!$K$1</c:f>
              <c:strCache>
                <c:ptCount val="1"/>
                <c:pt idx="0">
                  <c:v>N = 25, 8-Tx</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Sheet1!$K$2:$K$3</c:f>
              <c:numCache>
                <c:formatCode>General</c:formatCode>
                <c:ptCount val="2"/>
                <c:pt idx="0">
                  <c:v>1.1102632582983594</c:v>
                </c:pt>
                <c:pt idx="1">
                  <c:v>2.156469408224674</c:v>
                </c:pt>
              </c:numCache>
            </c:numRef>
          </c:val>
        </c:ser>
        <c:dLbls>
          <c:dLblPos val="outEnd"/>
          <c:showLegendKey val="0"/>
          <c:showVal val="1"/>
          <c:showCatName val="0"/>
          <c:showSerName val="0"/>
          <c:showPercent val="0"/>
          <c:showBubbleSize val="0"/>
        </c:dLbls>
        <c:gapWidth val="444"/>
        <c:overlap val="-90"/>
        <c:axId val="568153672"/>
        <c:axId val="573851232"/>
      </c:barChart>
      <c:catAx>
        <c:axId val="5681536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573851232"/>
        <c:crosses val="autoZero"/>
        <c:auto val="1"/>
        <c:lblAlgn val="ctr"/>
        <c:lblOffset val="100"/>
        <c:noMultiLvlLbl val="0"/>
      </c:catAx>
      <c:valAx>
        <c:axId val="573851232"/>
        <c:scaling>
          <c:orientation val="minMax"/>
          <c:max val="2.200000000000000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568153672"/>
        <c:crosses val="autoZero"/>
        <c:crossBetween val="between"/>
      </c:valAx>
      <c:spPr>
        <a:noFill/>
        <a:ln>
          <a:noFill/>
        </a:ln>
        <a:effectLst/>
      </c:spPr>
    </c:plotArea>
    <c:legend>
      <c:legendPos val="t"/>
      <c:layout>
        <c:manualLayout>
          <c:xMode val="edge"/>
          <c:yMode val="edge"/>
          <c:x val="1.8465927545010054E-2"/>
          <c:y val="2.8051251523442712E-2"/>
          <c:w val="0.9614671828228829"/>
          <c:h val="0.1242592171804901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281D3-0AB5-4F32-A1C1-9C2621C5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3406</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16</cp:revision>
  <cp:lastPrinted>2012-03-15T10:36:00Z</cp:lastPrinted>
  <dcterms:created xsi:type="dcterms:W3CDTF">2017-05-18T02:58:00Z</dcterms:created>
  <dcterms:modified xsi:type="dcterms:W3CDTF">2017-05-18T03:28:00Z</dcterms:modified>
</cp:coreProperties>
</file>